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8E1" w:rsidRDefault="003438E1" w:rsidP="003438E1">
      <w:pPr>
        <w:pStyle w:val="Nadpis1"/>
        <w:ind w:left="-5"/>
      </w:pPr>
      <w:bookmarkStart w:id="0" w:name="_Toc293716"/>
    </w:p>
    <w:p w:rsidR="003438E1" w:rsidRDefault="003438E1" w:rsidP="003438E1">
      <w:pPr>
        <w:pStyle w:val="Nadpis1"/>
        <w:ind w:left="-5"/>
      </w:pPr>
    </w:p>
    <w:p w:rsidR="003438E1" w:rsidRDefault="003438E1" w:rsidP="003438E1">
      <w:pPr>
        <w:pStyle w:val="Nadpis1"/>
        <w:ind w:left="-5"/>
      </w:pPr>
    </w:p>
    <w:p w:rsidR="003438E1" w:rsidRDefault="003438E1" w:rsidP="003438E1">
      <w:pPr>
        <w:pStyle w:val="Nadpis1"/>
        <w:ind w:left="-5"/>
      </w:pPr>
    </w:p>
    <w:p w:rsidR="003438E1" w:rsidRDefault="003438E1" w:rsidP="003438E1">
      <w:pPr>
        <w:pStyle w:val="Nadpis1"/>
        <w:ind w:left="-5"/>
      </w:pPr>
    </w:p>
    <w:p w:rsidR="003438E1" w:rsidRPr="003370F7" w:rsidRDefault="003438E1" w:rsidP="003438E1">
      <w:pPr>
        <w:spacing w:after="0"/>
        <w:ind w:right="912"/>
        <w:jc w:val="right"/>
        <w:rPr>
          <w:rFonts w:ascii="Times New Roman" w:eastAsiaTheme="minorEastAsia" w:hAnsi="Times New Roman"/>
          <w:color w:val="000000"/>
          <w:sz w:val="24"/>
          <w:lang w:eastAsia="sk-SK"/>
        </w:rPr>
      </w:pPr>
      <w:r w:rsidRPr="003370F7">
        <w:rPr>
          <w:rFonts w:ascii="Arial" w:hAnsi="Arial" w:cs="Arial"/>
          <w:b/>
          <w:color w:val="000000"/>
          <w:sz w:val="48"/>
          <w:lang w:eastAsia="sk-SK"/>
        </w:rPr>
        <w:t xml:space="preserve">PROGRAM ROZVOJA BÝVANIA </w:t>
      </w:r>
    </w:p>
    <w:p w:rsidR="003438E1" w:rsidRPr="003370F7" w:rsidRDefault="003438E1" w:rsidP="003438E1">
      <w:pPr>
        <w:spacing w:after="36"/>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right="3"/>
        <w:jc w:val="center"/>
        <w:rPr>
          <w:rFonts w:ascii="Times New Roman" w:eastAsiaTheme="minorEastAsia" w:hAnsi="Times New Roman"/>
          <w:color w:val="000000"/>
          <w:sz w:val="24"/>
          <w:lang w:eastAsia="sk-SK"/>
        </w:rPr>
      </w:pPr>
      <w:r>
        <w:rPr>
          <w:rFonts w:ascii="Arial" w:hAnsi="Arial" w:cs="Arial"/>
          <w:b/>
          <w:color w:val="000000"/>
          <w:sz w:val="44"/>
          <w:lang w:eastAsia="sk-SK"/>
        </w:rPr>
        <w:t>o</w:t>
      </w:r>
      <w:r w:rsidRPr="003370F7">
        <w:rPr>
          <w:rFonts w:ascii="Arial" w:hAnsi="Arial" w:cs="Arial"/>
          <w:b/>
          <w:color w:val="000000"/>
          <w:sz w:val="44"/>
          <w:lang w:eastAsia="sk-SK"/>
        </w:rPr>
        <w:t xml:space="preserve">bce </w:t>
      </w:r>
      <w:r>
        <w:rPr>
          <w:rFonts w:ascii="Arial" w:hAnsi="Arial" w:cs="Arial"/>
          <w:b/>
          <w:color w:val="000000"/>
          <w:sz w:val="44"/>
          <w:lang w:eastAsia="sk-SK"/>
        </w:rPr>
        <w:t>Dubové</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2249"/>
        <w:rPr>
          <w:rFonts w:ascii="Times New Roman" w:eastAsiaTheme="minorEastAsia" w:hAnsi="Times New Roman"/>
          <w:color w:val="000000"/>
          <w:sz w:val="24"/>
          <w:lang w:eastAsia="sk-SK"/>
        </w:rPr>
      </w:pPr>
      <w:r>
        <w:rPr>
          <w:rFonts w:ascii="Arial" w:hAnsi="Arial" w:cs="Arial"/>
          <w:b/>
          <w:color w:val="000000"/>
          <w:sz w:val="44"/>
          <w:lang w:eastAsia="sk-SK"/>
        </w:rPr>
        <w:t>na obdobie 2016-2025</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22"/>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244"/>
        <w:jc w:val="center"/>
        <w:rPr>
          <w:rFonts w:ascii="Times New Roman" w:eastAsiaTheme="minorEastAsia" w:hAnsi="Times New Roman"/>
          <w:color w:val="000000"/>
          <w:sz w:val="24"/>
          <w:lang w:eastAsia="sk-SK"/>
        </w:rPr>
      </w:pPr>
      <w:r w:rsidRPr="003370F7">
        <w:rPr>
          <w:rFonts w:ascii="Arial" w:hAnsi="Arial" w:cs="Arial"/>
          <w:b/>
          <w:color w:val="000000"/>
          <w:sz w:val="44"/>
          <w:lang w:eastAsia="sk-SK"/>
        </w:rPr>
        <w:t xml:space="preserve">  </w:t>
      </w:r>
    </w:p>
    <w:p w:rsidR="003438E1" w:rsidRPr="003370F7" w:rsidRDefault="003438E1" w:rsidP="003438E1">
      <w:pPr>
        <w:spacing w:after="0"/>
        <w:ind w:left="10" w:right="3" w:hanging="10"/>
        <w:jc w:val="center"/>
        <w:rPr>
          <w:rFonts w:ascii="Times New Roman" w:eastAsiaTheme="minorEastAsia" w:hAnsi="Times New Roman"/>
          <w:color w:val="000000"/>
          <w:sz w:val="24"/>
          <w:lang w:eastAsia="sk-SK"/>
        </w:rPr>
      </w:pPr>
      <w:r>
        <w:rPr>
          <w:rFonts w:ascii="Arial" w:hAnsi="Arial" w:cs="Arial"/>
          <w:b/>
          <w:color w:val="000000"/>
          <w:sz w:val="28"/>
          <w:lang w:eastAsia="sk-SK"/>
        </w:rPr>
        <w:t>September 2016</w:t>
      </w:r>
    </w:p>
    <w:p w:rsidR="003438E1" w:rsidRDefault="003438E1" w:rsidP="003438E1">
      <w:pPr>
        <w:pStyle w:val="Nadpis1"/>
        <w:ind w:left="-5"/>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Default="003438E1" w:rsidP="003438E1">
      <w:pPr>
        <w:rPr>
          <w:lang w:eastAsia="sk-SK"/>
        </w:rPr>
      </w:pPr>
    </w:p>
    <w:p w:rsidR="003438E1" w:rsidRPr="00FF20FA" w:rsidRDefault="003438E1" w:rsidP="003438E1">
      <w:pPr>
        <w:rPr>
          <w:lang w:eastAsia="sk-SK"/>
        </w:rPr>
      </w:pPr>
    </w:p>
    <w:p w:rsidR="003438E1" w:rsidRDefault="003438E1" w:rsidP="003438E1">
      <w:pPr>
        <w:pStyle w:val="Nadpis1"/>
        <w:ind w:left="-5"/>
      </w:pPr>
    </w:p>
    <w:p w:rsidR="003438E1" w:rsidRDefault="003438E1" w:rsidP="003438E1">
      <w:pPr>
        <w:pStyle w:val="Nadpis1"/>
        <w:ind w:left="-5"/>
      </w:pPr>
    </w:p>
    <w:p w:rsidR="003438E1" w:rsidRPr="00D016D6" w:rsidRDefault="003438E1" w:rsidP="003438E1">
      <w:pPr>
        <w:pStyle w:val="Nadpis1"/>
        <w:ind w:left="-5"/>
        <w:rPr>
          <w:rFonts w:asciiTheme="minorHAnsi" w:hAnsiTheme="minorHAnsi"/>
          <w:sz w:val="22"/>
        </w:rPr>
      </w:pPr>
      <w:r w:rsidRPr="00D016D6">
        <w:rPr>
          <w:rFonts w:asciiTheme="minorHAnsi" w:hAnsiTheme="minorHAnsi"/>
          <w:sz w:val="22"/>
        </w:rPr>
        <w:t xml:space="preserve">Obsah </w:t>
      </w:r>
      <w:bookmarkEnd w:id="0"/>
    </w:p>
    <w:p w:rsidR="003438E1" w:rsidRPr="00D016D6" w:rsidRDefault="003438E1" w:rsidP="003438E1">
      <w:pPr>
        <w:spacing w:after="0" w:line="256" w:lineRule="auto"/>
        <w:ind w:left="221"/>
      </w:pPr>
      <w:r w:rsidRPr="00D016D6">
        <w:t xml:space="preserve"> </w:t>
      </w:r>
    </w:p>
    <w:p w:rsidR="003438E1" w:rsidRPr="00D016D6" w:rsidRDefault="003438E1" w:rsidP="003438E1">
      <w:pPr>
        <w:spacing w:after="0"/>
      </w:pPr>
    </w:p>
    <w:p w:rsidR="003438E1" w:rsidRPr="00D016D6" w:rsidRDefault="003438E1" w:rsidP="003438E1">
      <w:pPr>
        <w:spacing w:after="28"/>
      </w:pPr>
    </w:p>
    <w:p w:rsidR="003438E1" w:rsidRPr="00D016D6" w:rsidRDefault="003438E1" w:rsidP="003438E1">
      <w:pPr>
        <w:spacing w:after="3"/>
        <w:ind w:left="-5"/>
      </w:pPr>
      <w:r w:rsidRPr="00D016D6">
        <w:rPr>
          <w:b/>
        </w:rPr>
        <w:t xml:space="preserve">ÚVOD </w:t>
      </w:r>
    </w:p>
    <w:p w:rsidR="003438E1" w:rsidRPr="00D016D6" w:rsidRDefault="003438E1" w:rsidP="003438E1">
      <w:pPr>
        <w:spacing w:after="26"/>
      </w:pPr>
      <w:r w:rsidRPr="00D016D6">
        <w:rPr>
          <w:b/>
        </w:rPr>
        <w:t xml:space="preserve"> </w:t>
      </w:r>
    </w:p>
    <w:p w:rsidR="003438E1" w:rsidRPr="00D016D6" w:rsidRDefault="003438E1" w:rsidP="003438E1">
      <w:pPr>
        <w:spacing w:after="3"/>
        <w:ind w:left="-5"/>
      </w:pPr>
      <w:r w:rsidRPr="00D016D6">
        <w:rPr>
          <w:b/>
        </w:rPr>
        <w:t xml:space="preserve">Geografická charakteristika </w:t>
      </w:r>
    </w:p>
    <w:p w:rsidR="003438E1" w:rsidRPr="00D016D6" w:rsidRDefault="003438E1" w:rsidP="003438E1">
      <w:pPr>
        <w:spacing w:after="16"/>
      </w:pPr>
      <w:r w:rsidRPr="00D016D6">
        <w:rPr>
          <w:rFonts w:cs="Arial"/>
          <w:b/>
        </w:rPr>
        <w:t xml:space="preserve"> </w:t>
      </w:r>
    </w:p>
    <w:p w:rsidR="003438E1" w:rsidRPr="00D016D6" w:rsidRDefault="003438E1" w:rsidP="003438E1">
      <w:pPr>
        <w:pStyle w:val="Nadpis1"/>
        <w:tabs>
          <w:tab w:val="center" w:pos="2037"/>
        </w:tabs>
        <w:ind w:left="-15" w:firstLine="0"/>
        <w:rPr>
          <w:rFonts w:asciiTheme="minorHAnsi" w:hAnsiTheme="minorHAnsi"/>
          <w:sz w:val="22"/>
        </w:rPr>
      </w:pPr>
      <w:r w:rsidRPr="00D016D6">
        <w:rPr>
          <w:rFonts w:asciiTheme="minorHAnsi" w:hAnsiTheme="minorHAnsi"/>
          <w:sz w:val="22"/>
        </w:rPr>
        <w:t xml:space="preserve">I.  </w:t>
      </w:r>
      <w:r w:rsidRPr="00D016D6">
        <w:rPr>
          <w:rFonts w:asciiTheme="minorHAnsi" w:hAnsiTheme="minorHAnsi"/>
          <w:sz w:val="22"/>
        </w:rPr>
        <w:tab/>
        <w:t xml:space="preserve">ANALYTICKÁ ČASŤ </w:t>
      </w:r>
    </w:p>
    <w:p w:rsidR="003438E1" w:rsidRPr="00D016D6" w:rsidRDefault="003438E1" w:rsidP="003438E1">
      <w:pPr>
        <w:spacing w:after="17"/>
      </w:pPr>
      <w:r w:rsidRPr="00D016D6">
        <w:rPr>
          <w:rFonts w:cs="Arial"/>
          <w:b/>
        </w:rPr>
        <w:t xml:space="preserve"> </w:t>
      </w:r>
    </w:p>
    <w:p w:rsidR="003438E1" w:rsidRPr="00D016D6" w:rsidRDefault="003438E1" w:rsidP="003438E1">
      <w:pPr>
        <w:numPr>
          <w:ilvl w:val="0"/>
          <w:numId w:val="3"/>
        </w:numPr>
        <w:spacing w:after="4" w:line="267" w:lineRule="auto"/>
        <w:ind w:hanging="708"/>
      </w:pPr>
      <w:r w:rsidRPr="00D016D6">
        <w:rPr>
          <w:rFonts w:cs="Arial"/>
          <w:b/>
        </w:rPr>
        <w:t xml:space="preserve">Analýza súčasnej úrovne bývania </w:t>
      </w:r>
    </w:p>
    <w:p w:rsidR="003438E1" w:rsidRPr="00D016D6" w:rsidRDefault="003438E1" w:rsidP="003438E1">
      <w:pPr>
        <w:spacing w:after="4" w:line="267" w:lineRule="auto"/>
        <w:ind w:left="708"/>
      </w:pPr>
      <w:r w:rsidRPr="00D016D6">
        <w:t xml:space="preserve">1. Zhodnotenie stavu bytového fondu </w:t>
      </w:r>
    </w:p>
    <w:p w:rsidR="003438E1" w:rsidRPr="00D016D6" w:rsidRDefault="003438E1" w:rsidP="003438E1">
      <w:pPr>
        <w:spacing w:after="4" w:line="267" w:lineRule="auto"/>
        <w:ind w:left="708"/>
      </w:pPr>
      <w:r w:rsidRPr="00D016D6">
        <w:t xml:space="preserve">2. Zhodnotenie využívania bytového fondu </w:t>
      </w:r>
    </w:p>
    <w:p w:rsidR="003438E1" w:rsidRPr="00D016D6" w:rsidRDefault="003438E1" w:rsidP="003438E1">
      <w:pPr>
        <w:spacing w:after="25"/>
      </w:pPr>
      <w:r w:rsidRPr="00D016D6">
        <w:rPr>
          <w:rFonts w:cs="Arial"/>
          <w:b/>
        </w:rPr>
        <w:t xml:space="preserve"> </w:t>
      </w:r>
    </w:p>
    <w:p w:rsidR="003438E1" w:rsidRPr="00D016D6" w:rsidRDefault="003438E1" w:rsidP="003438E1">
      <w:pPr>
        <w:numPr>
          <w:ilvl w:val="0"/>
          <w:numId w:val="3"/>
        </w:numPr>
        <w:spacing w:after="0"/>
        <w:ind w:hanging="708"/>
      </w:pPr>
      <w:r w:rsidRPr="00D016D6">
        <w:rPr>
          <w:rFonts w:cs="Arial"/>
          <w:b/>
        </w:rPr>
        <w:t xml:space="preserve">Demografický vývoj a prognóza </w:t>
      </w:r>
    </w:p>
    <w:p w:rsidR="003438E1" w:rsidRPr="00D016D6" w:rsidRDefault="003438E1" w:rsidP="003438E1">
      <w:pPr>
        <w:spacing w:after="22"/>
      </w:pPr>
      <w:r w:rsidRPr="00D016D6">
        <w:rPr>
          <w:rFonts w:cs="Arial"/>
          <w:b/>
        </w:rPr>
        <w:t xml:space="preserve"> </w:t>
      </w:r>
    </w:p>
    <w:p w:rsidR="003438E1" w:rsidRPr="00D016D6" w:rsidRDefault="003438E1" w:rsidP="003438E1">
      <w:pPr>
        <w:numPr>
          <w:ilvl w:val="0"/>
          <w:numId w:val="3"/>
        </w:numPr>
        <w:spacing w:after="0"/>
        <w:ind w:hanging="708"/>
      </w:pPr>
      <w:r w:rsidRPr="00D016D6">
        <w:rPr>
          <w:rFonts w:cs="Arial"/>
          <w:b/>
        </w:rPr>
        <w:t xml:space="preserve">Ekonomické podmienky rozvoja bývania </w:t>
      </w:r>
    </w:p>
    <w:p w:rsidR="003438E1" w:rsidRPr="00D016D6" w:rsidRDefault="003438E1" w:rsidP="003438E1">
      <w:pPr>
        <w:spacing w:after="22"/>
      </w:pPr>
      <w:r w:rsidRPr="00D016D6">
        <w:rPr>
          <w:rFonts w:cs="Arial"/>
          <w:b/>
        </w:rPr>
        <w:t xml:space="preserve"> </w:t>
      </w:r>
    </w:p>
    <w:p w:rsidR="003438E1" w:rsidRPr="00D016D6" w:rsidRDefault="003438E1" w:rsidP="003438E1">
      <w:pPr>
        <w:numPr>
          <w:ilvl w:val="0"/>
          <w:numId w:val="3"/>
        </w:numPr>
        <w:spacing w:after="0"/>
        <w:ind w:hanging="708"/>
      </w:pPr>
      <w:r w:rsidRPr="00D016D6">
        <w:rPr>
          <w:rFonts w:cs="Arial"/>
          <w:b/>
        </w:rPr>
        <w:t xml:space="preserve">Bilancovanie potrieb rozvoja bývania </w:t>
      </w:r>
    </w:p>
    <w:p w:rsidR="003438E1" w:rsidRPr="00D016D6" w:rsidRDefault="003438E1" w:rsidP="003438E1">
      <w:pPr>
        <w:spacing w:after="24"/>
      </w:pPr>
      <w:r w:rsidRPr="00D016D6">
        <w:rPr>
          <w:rFonts w:cs="Arial"/>
          <w:b/>
        </w:rPr>
        <w:t xml:space="preserve"> </w:t>
      </w:r>
    </w:p>
    <w:p w:rsidR="003438E1" w:rsidRPr="00D016D6" w:rsidRDefault="003438E1" w:rsidP="003438E1">
      <w:pPr>
        <w:numPr>
          <w:ilvl w:val="0"/>
          <w:numId w:val="3"/>
        </w:numPr>
        <w:spacing w:after="0"/>
        <w:ind w:hanging="708"/>
      </w:pPr>
      <w:r w:rsidRPr="00D016D6">
        <w:rPr>
          <w:rFonts w:cs="Arial"/>
          <w:b/>
        </w:rPr>
        <w:t xml:space="preserve">Zhodnotenie možností územia pre rozvojové zámery </w:t>
      </w:r>
    </w:p>
    <w:p w:rsidR="003438E1" w:rsidRPr="00D016D6" w:rsidRDefault="003438E1" w:rsidP="003438E1">
      <w:pPr>
        <w:spacing w:after="0"/>
      </w:pPr>
      <w:r w:rsidRPr="00D016D6">
        <w:rPr>
          <w:rFonts w:cs="Arial"/>
          <w:b/>
        </w:rPr>
        <w:t xml:space="preserve"> </w:t>
      </w:r>
    </w:p>
    <w:p w:rsidR="003438E1" w:rsidRPr="00D016D6" w:rsidRDefault="003438E1" w:rsidP="003438E1">
      <w:pPr>
        <w:spacing w:after="18"/>
      </w:pPr>
      <w:r w:rsidRPr="00D016D6">
        <w:rPr>
          <w:rFonts w:cs="Arial"/>
          <w:b/>
        </w:rPr>
        <w:t xml:space="preserve"> </w:t>
      </w:r>
    </w:p>
    <w:p w:rsidR="003438E1" w:rsidRPr="00D016D6" w:rsidRDefault="003438E1" w:rsidP="003438E1">
      <w:pPr>
        <w:pStyle w:val="Nadpis1"/>
        <w:ind w:left="-5"/>
        <w:rPr>
          <w:rFonts w:asciiTheme="minorHAnsi" w:hAnsiTheme="minorHAnsi"/>
          <w:sz w:val="22"/>
        </w:rPr>
      </w:pPr>
      <w:r w:rsidRPr="00D016D6">
        <w:rPr>
          <w:rFonts w:asciiTheme="minorHAnsi" w:hAnsiTheme="minorHAnsi"/>
          <w:sz w:val="22"/>
        </w:rPr>
        <w:t xml:space="preserve">II. PROGRAM ROZVOJA BÝVANIA </w:t>
      </w:r>
    </w:p>
    <w:p w:rsidR="003438E1" w:rsidRPr="00D016D6" w:rsidRDefault="003438E1" w:rsidP="003438E1">
      <w:pPr>
        <w:spacing w:after="0"/>
      </w:pPr>
      <w:r w:rsidRPr="00D016D6">
        <w:rPr>
          <w:rFonts w:cs="Arial"/>
          <w:b/>
        </w:rPr>
        <w:t xml:space="preserve"> </w:t>
      </w:r>
    </w:p>
    <w:p w:rsidR="003438E1" w:rsidRPr="00D016D6" w:rsidRDefault="003438E1" w:rsidP="003438E1">
      <w:pPr>
        <w:numPr>
          <w:ilvl w:val="0"/>
          <w:numId w:val="4"/>
        </w:numPr>
        <w:spacing w:after="0"/>
        <w:ind w:hanging="359"/>
      </w:pPr>
      <w:r w:rsidRPr="00D016D6">
        <w:rPr>
          <w:rFonts w:cs="Arial"/>
          <w:b/>
        </w:rPr>
        <w:t xml:space="preserve">Rámcové ciele rozvoja bývania na obdobie  2016-2025 </w:t>
      </w:r>
    </w:p>
    <w:p w:rsidR="003438E1" w:rsidRPr="00D016D6" w:rsidRDefault="003438E1" w:rsidP="003438E1">
      <w:pPr>
        <w:spacing w:after="14"/>
      </w:pPr>
      <w:r w:rsidRPr="00D016D6">
        <w:rPr>
          <w:rFonts w:cs="Arial"/>
          <w:b/>
        </w:rPr>
        <w:t xml:space="preserve"> </w:t>
      </w:r>
    </w:p>
    <w:p w:rsidR="003438E1" w:rsidRPr="00D016D6" w:rsidRDefault="003438E1" w:rsidP="003438E1">
      <w:pPr>
        <w:numPr>
          <w:ilvl w:val="0"/>
          <w:numId w:val="4"/>
        </w:numPr>
        <w:spacing w:after="0"/>
        <w:ind w:hanging="359"/>
      </w:pPr>
      <w:r w:rsidRPr="00D016D6">
        <w:rPr>
          <w:rFonts w:cs="Arial"/>
          <w:b/>
        </w:rPr>
        <w:t>Program rozvoja bývania na obdobie  2016-2025</w:t>
      </w:r>
    </w:p>
    <w:p w:rsidR="003438E1" w:rsidRDefault="003438E1" w:rsidP="003438E1">
      <w:pPr>
        <w:spacing w:after="0"/>
      </w:pPr>
      <w:r>
        <w:t xml:space="preserve"> </w:t>
      </w:r>
    </w:p>
    <w:p w:rsidR="003438E1" w:rsidRDefault="003438E1" w:rsidP="003438E1">
      <w:pPr>
        <w:spacing w:after="0"/>
      </w:pPr>
      <w:r>
        <w:t xml:space="preserve"> </w:t>
      </w:r>
    </w:p>
    <w:p w:rsidR="003438E1" w:rsidRDefault="003438E1" w:rsidP="003438E1">
      <w:pPr>
        <w:rPr>
          <w:sz w:val="20"/>
        </w:rPr>
      </w:pPr>
    </w:p>
    <w:p w:rsidR="003438E1" w:rsidRDefault="003438E1" w:rsidP="003438E1">
      <w:pPr>
        <w:rPr>
          <w:sz w:val="20"/>
        </w:rPr>
      </w:pPr>
    </w:p>
    <w:p w:rsidR="003438E1" w:rsidRDefault="003438E1" w:rsidP="003438E1">
      <w:pPr>
        <w:rPr>
          <w:sz w:val="20"/>
        </w:rPr>
      </w:pPr>
    </w:p>
    <w:p w:rsidR="003438E1" w:rsidRDefault="003438E1" w:rsidP="003438E1">
      <w:pPr>
        <w:rPr>
          <w:sz w:val="20"/>
        </w:rPr>
      </w:pPr>
    </w:p>
    <w:p w:rsidR="003438E1" w:rsidRDefault="003438E1" w:rsidP="003438E1">
      <w:pPr>
        <w:rPr>
          <w:sz w:val="20"/>
        </w:rPr>
      </w:pPr>
    </w:p>
    <w:p w:rsidR="003438E1" w:rsidRDefault="003438E1" w:rsidP="003438E1">
      <w:pPr>
        <w:rPr>
          <w:sz w:val="20"/>
        </w:rPr>
      </w:pPr>
    </w:p>
    <w:p w:rsidR="003438E1" w:rsidRDefault="003438E1" w:rsidP="003438E1">
      <w:pPr>
        <w:rPr>
          <w:sz w:val="20"/>
        </w:rPr>
      </w:pPr>
    </w:p>
    <w:p w:rsidR="003438E1" w:rsidRDefault="003438E1" w:rsidP="003438E1">
      <w:pPr>
        <w:pStyle w:val="Nadpis1"/>
        <w:ind w:left="-5"/>
      </w:pPr>
      <w:bookmarkStart w:id="1" w:name="_Toc293717"/>
      <w:r>
        <w:t xml:space="preserve">Úvod </w:t>
      </w:r>
      <w:bookmarkEnd w:id="1"/>
    </w:p>
    <w:p w:rsidR="003438E1" w:rsidRDefault="003438E1" w:rsidP="003438E1">
      <w:pPr>
        <w:spacing w:after="215" w:line="256" w:lineRule="auto"/>
      </w:pPr>
      <w:r>
        <w:t xml:space="preserve"> </w:t>
      </w:r>
    </w:p>
    <w:p w:rsidR="003438E1" w:rsidRDefault="003438E1" w:rsidP="003438E1">
      <w:pPr>
        <w:spacing w:after="215" w:line="256" w:lineRule="auto"/>
      </w:pPr>
      <w:r>
        <w:t xml:space="preserve">Program rozvoja bývania obce Dubové je strednodobý strategický dokument, ktorý prezentuje bytovú politiku obce na obdobie rokov 2016 - 2025. Jeho cieľom je :  </w:t>
      </w:r>
    </w:p>
    <w:p w:rsidR="003438E1" w:rsidRDefault="003438E1" w:rsidP="003438E1">
      <w:pPr>
        <w:numPr>
          <w:ilvl w:val="0"/>
          <w:numId w:val="1"/>
        </w:numPr>
        <w:suppressAutoHyphens/>
        <w:autoSpaceDN w:val="0"/>
        <w:spacing w:after="4" w:line="247" w:lineRule="auto"/>
        <w:ind w:hanging="360"/>
        <w:jc w:val="both"/>
        <w:textAlignment w:val="baseline"/>
      </w:pPr>
      <w:r>
        <w:t xml:space="preserve">zhodnotiť súčasný stav bývania a stanoviť opatrenia v závislosti od potrieb v oblasti bývania,  </w:t>
      </w:r>
    </w:p>
    <w:p w:rsidR="003438E1" w:rsidRDefault="003438E1" w:rsidP="003438E1">
      <w:pPr>
        <w:numPr>
          <w:ilvl w:val="0"/>
          <w:numId w:val="1"/>
        </w:numPr>
        <w:suppressAutoHyphens/>
        <w:autoSpaceDN w:val="0"/>
        <w:spacing w:after="4" w:line="247" w:lineRule="auto"/>
        <w:ind w:hanging="360"/>
        <w:jc w:val="both"/>
        <w:textAlignment w:val="baseline"/>
      </w:pPr>
      <w:r>
        <w:t xml:space="preserve">vytvoriť podmienky pre zabezpečenia bývania všetkým obyvateľom v byte, ktorý zodpovedá ich nárokom na kvalitu bývania a príjmovej situácii,  </w:t>
      </w:r>
    </w:p>
    <w:p w:rsidR="003438E1" w:rsidRDefault="003438E1" w:rsidP="003438E1">
      <w:pPr>
        <w:numPr>
          <w:ilvl w:val="0"/>
          <w:numId w:val="1"/>
        </w:numPr>
        <w:suppressAutoHyphens/>
        <w:autoSpaceDN w:val="0"/>
        <w:spacing w:after="4" w:line="247" w:lineRule="auto"/>
        <w:ind w:hanging="360"/>
        <w:jc w:val="both"/>
        <w:textAlignment w:val="baseline"/>
      </w:pPr>
      <w:r>
        <w:lastRenderedPageBreak/>
        <w:t xml:space="preserve">vytvoriť priestor pre spoluprácu verejného a súkromného sektora v oblasti rozvoja bytového fondu,  </w:t>
      </w:r>
    </w:p>
    <w:p w:rsidR="003438E1" w:rsidRDefault="003438E1" w:rsidP="003438E1">
      <w:pPr>
        <w:numPr>
          <w:ilvl w:val="0"/>
          <w:numId w:val="1"/>
        </w:numPr>
        <w:suppressAutoHyphens/>
        <w:autoSpaceDN w:val="0"/>
        <w:spacing w:after="4" w:line="247" w:lineRule="auto"/>
        <w:ind w:hanging="360"/>
        <w:jc w:val="both"/>
        <w:textAlignment w:val="baseline"/>
      </w:pPr>
      <w:r>
        <w:t>rešpektovať princípy trvalo udržateľného rozvoja</w:t>
      </w:r>
    </w:p>
    <w:p w:rsidR="003438E1" w:rsidRDefault="003438E1" w:rsidP="003438E1">
      <w:pPr>
        <w:numPr>
          <w:ilvl w:val="0"/>
          <w:numId w:val="1"/>
        </w:numPr>
        <w:suppressAutoHyphens/>
        <w:autoSpaceDN w:val="0"/>
        <w:spacing w:after="4" w:line="247" w:lineRule="auto"/>
        <w:ind w:hanging="360"/>
        <w:jc w:val="both"/>
        <w:textAlignment w:val="baseline"/>
      </w:pPr>
      <w:r>
        <w:t>nadväzuje na Územný plán obce Dubové a jeho zmeny a doplnky</w:t>
      </w:r>
    </w:p>
    <w:p w:rsidR="003438E1" w:rsidRDefault="003438E1" w:rsidP="003438E1">
      <w:pPr>
        <w:numPr>
          <w:ilvl w:val="0"/>
          <w:numId w:val="1"/>
        </w:numPr>
        <w:suppressAutoHyphens/>
        <w:autoSpaceDN w:val="0"/>
        <w:spacing w:after="4" w:line="247" w:lineRule="auto"/>
        <w:ind w:hanging="360"/>
        <w:jc w:val="both"/>
        <w:textAlignment w:val="baseline"/>
      </w:pPr>
      <w:r>
        <w:t>nadväzuje na Program hospodárskeho a sociálneho rozvoja obce Dobové na roky 2014-2020.</w:t>
      </w:r>
    </w:p>
    <w:p w:rsidR="003438E1" w:rsidRDefault="003438E1" w:rsidP="003438E1">
      <w:pPr>
        <w:suppressAutoHyphens/>
        <w:autoSpaceDN w:val="0"/>
        <w:spacing w:after="4" w:line="247" w:lineRule="auto"/>
        <w:jc w:val="both"/>
        <w:textAlignment w:val="baseline"/>
      </w:pPr>
    </w:p>
    <w:p w:rsidR="003438E1" w:rsidRDefault="003438E1" w:rsidP="003438E1">
      <w:pPr>
        <w:suppressAutoHyphens/>
        <w:autoSpaceDN w:val="0"/>
        <w:spacing w:after="4" w:line="247" w:lineRule="auto"/>
        <w:jc w:val="both"/>
        <w:textAlignment w:val="baseline"/>
      </w:pPr>
      <w:r>
        <w:t xml:space="preserve">Program rozvoja bývania obce Dubové vytvára predpoklad pre plánovitý rozvoj bývania v obci.  Má lokálny charakter, je určený pre rozvoj územia obce Dubové. </w:t>
      </w:r>
    </w:p>
    <w:p w:rsidR="003438E1" w:rsidRDefault="003438E1" w:rsidP="003438E1">
      <w:pPr>
        <w:suppressAutoHyphens/>
        <w:autoSpaceDN w:val="0"/>
        <w:spacing w:after="4" w:line="247" w:lineRule="auto"/>
        <w:ind w:left="360"/>
        <w:jc w:val="both"/>
        <w:textAlignment w:val="baseline"/>
      </w:pPr>
    </w:p>
    <w:p w:rsidR="003438E1" w:rsidRDefault="003438E1" w:rsidP="003438E1">
      <w:pPr>
        <w:suppressAutoHyphens/>
        <w:autoSpaceDN w:val="0"/>
        <w:spacing w:after="4" w:line="247" w:lineRule="auto"/>
        <w:jc w:val="both"/>
        <w:textAlignment w:val="baseline"/>
      </w:pPr>
      <w:r>
        <w:t xml:space="preserve">Tento strednodobý dokument bol spracovaný na základe: </w:t>
      </w:r>
    </w:p>
    <w:p w:rsidR="003438E1" w:rsidRDefault="003438E1" w:rsidP="003438E1">
      <w:pPr>
        <w:suppressAutoHyphens/>
        <w:autoSpaceDN w:val="0"/>
        <w:spacing w:after="4" w:line="247" w:lineRule="auto"/>
        <w:ind w:left="360"/>
        <w:jc w:val="both"/>
        <w:textAlignment w:val="baseline"/>
      </w:pPr>
      <w:r>
        <w:t xml:space="preserve"> </w:t>
      </w:r>
    </w:p>
    <w:p w:rsidR="003438E1" w:rsidRDefault="003438E1" w:rsidP="003438E1">
      <w:pPr>
        <w:suppressAutoHyphens/>
        <w:autoSpaceDN w:val="0"/>
        <w:spacing w:after="4" w:line="247" w:lineRule="auto"/>
        <w:jc w:val="both"/>
        <w:textAlignment w:val="baseline"/>
      </w:pPr>
      <w:r>
        <w:t>a)</w:t>
      </w:r>
      <w:r>
        <w:tab/>
        <w:t xml:space="preserve">Zákona SNR č. 369/1990 Zb. o obecnom zriadení v znení neskorších    predpisov,§ 4, ods. 3, písm. j - Obec pri výkone samosprávy najmä obstaráva a schvaľuje územnoplánovaciu dokumentáciu sídelných útvarov a zón, koncepciu rozvoja jednotlivých oblastí života obce, obstaráva a schvaľuje programy rozvoja bývania a spolupôsobí pri utváraní vhodných podmienok na bývanie v obci, </w:t>
      </w:r>
    </w:p>
    <w:p w:rsidR="003438E1" w:rsidRDefault="003438E1" w:rsidP="003438E1">
      <w:pPr>
        <w:suppressAutoHyphens/>
        <w:autoSpaceDN w:val="0"/>
        <w:spacing w:after="4" w:line="247" w:lineRule="auto"/>
        <w:ind w:left="360"/>
        <w:jc w:val="both"/>
        <w:textAlignment w:val="baseline"/>
      </w:pPr>
      <w:r>
        <w:t xml:space="preserve"> </w:t>
      </w:r>
    </w:p>
    <w:p w:rsidR="003438E1" w:rsidRDefault="003438E1" w:rsidP="003438E1">
      <w:pPr>
        <w:suppressAutoHyphens/>
        <w:autoSpaceDN w:val="0"/>
        <w:spacing w:after="4" w:line="247" w:lineRule="auto"/>
        <w:jc w:val="both"/>
        <w:textAlignment w:val="baseline"/>
      </w:pPr>
      <w:r>
        <w:t>b)</w:t>
      </w:r>
      <w:r>
        <w:tab/>
        <w:t xml:space="preserve">Metodického pokynu Ministerstva výstavby a regionálneho rozvoja  SR č. 4/2006 z 19.5.2006 o programe rozvoja bývania obce a samosprávneho kraja, čl. 4 Spracovanie programu rozvoja bývania, </w:t>
      </w:r>
    </w:p>
    <w:p w:rsidR="003438E1" w:rsidRDefault="003438E1" w:rsidP="003438E1">
      <w:pPr>
        <w:suppressAutoHyphens/>
        <w:autoSpaceDN w:val="0"/>
        <w:spacing w:after="4" w:line="247" w:lineRule="auto"/>
        <w:ind w:left="360"/>
        <w:jc w:val="both"/>
        <w:textAlignment w:val="baseline"/>
      </w:pPr>
      <w:r>
        <w:t xml:space="preserve"> </w:t>
      </w:r>
    </w:p>
    <w:p w:rsidR="003438E1" w:rsidRDefault="003438E1" w:rsidP="003438E1">
      <w:pPr>
        <w:suppressAutoHyphens/>
        <w:autoSpaceDN w:val="0"/>
        <w:spacing w:after="4" w:line="247" w:lineRule="auto"/>
        <w:jc w:val="both"/>
        <w:textAlignment w:val="baseline"/>
      </w:pPr>
      <w:r>
        <w:t>c)</w:t>
      </w:r>
      <w:r>
        <w:tab/>
        <w:t xml:space="preserve">Výnosu Ministerstva výstavby a regionálneho rozvoja SR zo dňa 7.12.2006 č. V – 1/2006 v znení neskorších predpisov o poskytovaní dotácií na rozvoj bývania. </w:t>
      </w:r>
    </w:p>
    <w:p w:rsidR="003438E1" w:rsidRDefault="003438E1" w:rsidP="003438E1">
      <w:pPr>
        <w:suppressAutoHyphens/>
        <w:autoSpaceDN w:val="0"/>
        <w:spacing w:after="4" w:line="247" w:lineRule="auto"/>
        <w:ind w:left="360"/>
        <w:jc w:val="both"/>
        <w:textAlignment w:val="baseline"/>
      </w:pPr>
      <w:r>
        <w:t xml:space="preserve"> </w:t>
      </w:r>
    </w:p>
    <w:p w:rsidR="003438E1" w:rsidRDefault="003438E1" w:rsidP="003438E1">
      <w:pPr>
        <w:suppressAutoHyphens/>
        <w:autoSpaceDN w:val="0"/>
        <w:spacing w:after="4" w:line="247" w:lineRule="auto"/>
        <w:jc w:val="both"/>
        <w:textAlignment w:val="baseline"/>
      </w:pPr>
      <w:r>
        <w:t xml:space="preserve">Program rozvoja bývania Obce Dubové  je v súlade s územným plánom obce a berie do úvahy aktuálny stav a predpokladaný vývoj demografie v obci, štruktúru bytového fondu, požiadavky obyvateľov obce ako aj širšieho regiónu ako aj možnosti dané geografiou katastrálneho územia.  </w:t>
      </w:r>
    </w:p>
    <w:p w:rsidR="003438E1" w:rsidRDefault="003438E1" w:rsidP="003438E1">
      <w:pPr>
        <w:suppressAutoHyphens/>
        <w:autoSpaceDN w:val="0"/>
        <w:spacing w:after="4" w:line="247" w:lineRule="auto"/>
        <w:ind w:left="360"/>
        <w:jc w:val="both"/>
        <w:textAlignment w:val="baseline"/>
      </w:pPr>
      <w:r>
        <w:t xml:space="preserve"> </w:t>
      </w:r>
    </w:p>
    <w:p w:rsidR="003438E1" w:rsidRDefault="003438E1" w:rsidP="003438E1">
      <w:pPr>
        <w:suppressAutoHyphens/>
        <w:autoSpaceDN w:val="0"/>
        <w:spacing w:after="4" w:line="247" w:lineRule="auto"/>
        <w:jc w:val="both"/>
        <w:textAlignment w:val="baseline"/>
      </w:pPr>
      <w:r>
        <w:t>Program zohľadňuje reálne možnosti samosprávy v oblasti lokálnej bytovej politiky.</w:t>
      </w:r>
    </w:p>
    <w:p w:rsidR="003438E1" w:rsidRDefault="003438E1" w:rsidP="003438E1">
      <w:pPr>
        <w:spacing w:after="0" w:line="256" w:lineRule="auto"/>
      </w:pPr>
    </w:p>
    <w:p w:rsidR="003438E1" w:rsidRDefault="003438E1" w:rsidP="003438E1">
      <w:pPr>
        <w:spacing w:after="0" w:line="256" w:lineRule="auto"/>
      </w:pPr>
      <w:r>
        <w:t xml:space="preserve"> </w:t>
      </w:r>
    </w:p>
    <w:p w:rsidR="003438E1" w:rsidRDefault="003438E1" w:rsidP="003438E1">
      <w:pPr>
        <w:ind w:left="-5"/>
      </w:pPr>
      <w:r>
        <w:t>História dokumentu</w:t>
      </w:r>
      <w:r>
        <w:rPr>
          <w:vertAlign w:val="superscript"/>
        </w:rPr>
        <w:footnoteReference w:id="1"/>
      </w:r>
      <w:r>
        <w:t xml:space="preserve"> </w:t>
      </w:r>
    </w:p>
    <w:tbl>
      <w:tblPr>
        <w:tblW w:w="9284" w:type="dxa"/>
        <w:tblInd w:w="-105" w:type="dxa"/>
        <w:tblCellMar>
          <w:left w:w="10" w:type="dxa"/>
          <w:right w:w="10" w:type="dxa"/>
        </w:tblCellMar>
        <w:tblLook w:val="0000" w:firstRow="0" w:lastRow="0" w:firstColumn="0" w:lastColumn="0" w:noHBand="0" w:noVBand="0"/>
      </w:tblPr>
      <w:tblGrid>
        <w:gridCol w:w="1385"/>
        <w:gridCol w:w="3683"/>
        <w:gridCol w:w="2126"/>
        <w:gridCol w:w="2090"/>
      </w:tblGrid>
      <w:tr w:rsidR="003438E1" w:rsidTr="00E56919">
        <w:trPr>
          <w:trHeight w:val="253"/>
        </w:trPr>
        <w:tc>
          <w:tcPr>
            <w:tcW w:w="1385" w:type="dxa"/>
            <w:vMerge w:val="restart"/>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after="0" w:line="256" w:lineRule="auto"/>
            </w:pPr>
            <w:r>
              <w:rPr>
                <w:sz w:val="20"/>
              </w:rPr>
              <w:t xml:space="preserve">Verzia </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after="0" w:line="256" w:lineRule="auto"/>
              <w:ind w:left="2"/>
            </w:pPr>
            <w:r>
              <w:rPr>
                <w:sz w:val="20"/>
              </w:rPr>
              <w:t xml:space="preserve">Zmeny </w:t>
            </w:r>
          </w:p>
        </w:tc>
        <w:tc>
          <w:tcPr>
            <w:tcW w:w="4216" w:type="dxa"/>
            <w:gridSpan w:val="2"/>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after="0" w:line="256" w:lineRule="auto"/>
              <w:ind w:left="2"/>
            </w:pPr>
            <w:r>
              <w:rPr>
                <w:sz w:val="20"/>
              </w:rPr>
              <w:t xml:space="preserve">Schválenie obecným zastupiteľstvom </w:t>
            </w:r>
          </w:p>
        </w:tc>
      </w:tr>
      <w:tr w:rsidR="003438E1" w:rsidTr="00E56919">
        <w:trPr>
          <w:trHeight w:val="253"/>
        </w:trPr>
        <w:tc>
          <w:tcPr>
            <w:tcW w:w="1385" w:type="dxa"/>
            <w:vMerge/>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line="256" w:lineRule="auto"/>
            </w:pPr>
          </w:p>
        </w:tc>
        <w:tc>
          <w:tcPr>
            <w:tcW w:w="3683" w:type="dxa"/>
            <w:vMerge/>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line="256" w:lineRule="auto"/>
            </w:pPr>
          </w:p>
        </w:tc>
        <w:tc>
          <w:tcPr>
            <w:tcW w:w="2126" w:type="dxa"/>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after="0" w:line="256" w:lineRule="auto"/>
              <w:ind w:left="2"/>
            </w:pPr>
            <w:r>
              <w:rPr>
                <w:sz w:val="20"/>
              </w:rPr>
              <w:t xml:space="preserve">Dátum </w:t>
            </w:r>
          </w:p>
        </w:tc>
        <w:tc>
          <w:tcPr>
            <w:tcW w:w="2090" w:type="dxa"/>
            <w:tcBorders>
              <w:top w:val="single" w:sz="4" w:space="0" w:color="000000"/>
              <w:left w:val="single" w:sz="4" w:space="0" w:color="000000"/>
              <w:bottom w:val="single" w:sz="4" w:space="0" w:color="000000"/>
              <w:right w:val="single" w:sz="4" w:space="0" w:color="000000"/>
            </w:tcBorders>
            <w:shd w:val="clear" w:color="auto" w:fill="F2DBDB"/>
            <w:tcMar>
              <w:top w:w="29" w:type="dxa"/>
              <w:left w:w="106" w:type="dxa"/>
              <w:bottom w:w="0" w:type="dxa"/>
              <w:right w:w="115" w:type="dxa"/>
            </w:tcMar>
          </w:tcPr>
          <w:p w:rsidR="003438E1" w:rsidRDefault="003438E1" w:rsidP="00E56919">
            <w:pPr>
              <w:spacing w:after="0" w:line="256" w:lineRule="auto"/>
              <w:ind w:left="2"/>
            </w:pPr>
            <w:r>
              <w:rPr>
                <w:sz w:val="20"/>
              </w:rPr>
              <w:t xml:space="preserve">Uznesenie č. </w:t>
            </w:r>
          </w:p>
        </w:tc>
      </w:tr>
      <w:tr w:rsidR="003438E1" w:rsidTr="00E56919">
        <w:trPr>
          <w:trHeight w:val="256"/>
        </w:trPr>
        <w:tc>
          <w:tcPr>
            <w:tcW w:w="1385" w:type="dxa"/>
            <w:tcBorders>
              <w:top w:val="single" w:sz="4" w:space="0" w:color="000000"/>
              <w:left w:val="single" w:sz="4" w:space="0" w:color="000000"/>
              <w:bottom w:val="single" w:sz="4" w:space="0" w:color="000000"/>
              <w:right w:val="single" w:sz="4" w:space="0" w:color="000000"/>
            </w:tcBorders>
            <w:tcMar>
              <w:top w:w="29" w:type="dxa"/>
              <w:left w:w="106" w:type="dxa"/>
              <w:bottom w:w="0" w:type="dxa"/>
              <w:right w:w="115" w:type="dxa"/>
            </w:tcMar>
          </w:tcPr>
          <w:p w:rsidR="003438E1" w:rsidRDefault="003438E1" w:rsidP="00E56919">
            <w:pPr>
              <w:spacing w:after="0" w:line="256" w:lineRule="auto"/>
            </w:pPr>
            <w:r>
              <w:rPr>
                <w:sz w:val="20"/>
              </w:rPr>
              <w:t xml:space="preserve">Verzia 1.0 </w:t>
            </w:r>
          </w:p>
        </w:tc>
        <w:tc>
          <w:tcPr>
            <w:tcW w:w="3683" w:type="dxa"/>
            <w:tcBorders>
              <w:top w:val="single" w:sz="4" w:space="0" w:color="000000"/>
              <w:left w:val="single" w:sz="4" w:space="0" w:color="000000"/>
              <w:bottom w:val="single" w:sz="4" w:space="0" w:color="000000"/>
              <w:right w:val="single" w:sz="4" w:space="0" w:color="000000"/>
            </w:tcBorders>
            <w:tcMar>
              <w:top w:w="29" w:type="dxa"/>
              <w:left w:w="106" w:type="dxa"/>
              <w:bottom w:w="0" w:type="dxa"/>
              <w:right w:w="115" w:type="dxa"/>
            </w:tcMar>
          </w:tcPr>
          <w:p w:rsidR="003438E1" w:rsidRDefault="003438E1" w:rsidP="00E56919">
            <w:pPr>
              <w:spacing w:after="0" w:line="256" w:lineRule="auto"/>
              <w:ind w:left="2"/>
            </w:pPr>
            <w:r>
              <w:rPr>
                <w:sz w:val="20"/>
              </w:rPr>
              <w:t xml:space="preserve">Prvé znenie </w:t>
            </w:r>
          </w:p>
        </w:tc>
        <w:tc>
          <w:tcPr>
            <w:tcW w:w="2126" w:type="dxa"/>
            <w:tcBorders>
              <w:top w:val="single" w:sz="4" w:space="0" w:color="000000"/>
              <w:left w:val="single" w:sz="4" w:space="0" w:color="000000"/>
              <w:bottom w:val="single" w:sz="4" w:space="0" w:color="000000"/>
              <w:right w:val="single" w:sz="4" w:space="0" w:color="000000"/>
            </w:tcBorders>
            <w:tcMar>
              <w:top w:w="29" w:type="dxa"/>
              <w:left w:w="106" w:type="dxa"/>
              <w:bottom w:w="0" w:type="dxa"/>
              <w:right w:w="115" w:type="dxa"/>
            </w:tcMar>
          </w:tcPr>
          <w:p w:rsidR="003438E1" w:rsidRDefault="003438E1" w:rsidP="00E56919">
            <w:pPr>
              <w:spacing w:after="0" w:line="256" w:lineRule="auto"/>
              <w:ind w:left="2"/>
            </w:pPr>
          </w:p>
        </w:tc>
        <w:tc>
          <w:tcPr>
            <w:tcW w:w="2090" w:type="dxa"/>
            <w:tcBorders>
              <w:top w:val="single" w:sz="4" w:space="0" w:color="000000"/>
              <w:left w:val="single" w:sz="4" w:space="0" w:color="000000"/>
              <w:bottom w:val="single" w:sz="4" w:space="0" w:color="000000"/>
              <w:right w:val="single" w:sz="4" w:space="0" w:color="000000"/>
            </w:tcBorders>
            <w:tcMar>
              <w:top w:w="29" w:type="dxa"/>
              <w:left w:w="106" w:type="dxa"/>
              <w:bottom w:w="0" w:type="dxa"/>
              <w:right w:w="115" w:type="dxa"/>
            </w:tcMar>
          </w:tcPr>
          <w:p w:rsidR="003438E1" w:rsidRDefault="003438E1" w:rsidP="00E56919">
            <w:pPr>
              <w:spacing w:after="0" w:line="256" w:lineRule="auto"/>
              <w:ind w:left="2"/>
            </w:pPr>
          </w:p>
        </w:tc>
      </w:tr>
    </w:tbl>
    <w:p w:rsidR="003438E1" w:rsidRDefault="003438E1" w:rsidP="003438E1">
      <w:pPr>
        <w:spacing w:after="0" w:line="256" w:lineRule="auto"/>
      </w:pPr>
      <w:r>
        <w:t xml:space="preserve"> </w:t>
      </w:r>
    </w:p>
    <w:p w:rsidR="003438E1" w:rsidRPr="00945038" w:rsidRDefault="003438E1" w:rsidP="003438E1">
      <w:pPr>
        <w:spacing w:after="0" w:line="256" w:lineRule="auto"/>
        <w:rPr>
          <w:rFonts w:ascii="Cambria" w:hAnsi="Cambria" w:cs="Cambria"/>
          <w:b/>
          <w:color w:val="C00000"/>
          <w:sz w:val="26"/>
          <w:lang w:eastAsia="sk-SK"/>
        </w:rPr>
      </w:pPr>
      <w:r>
        <w:t xml:space="preserve"> </w:t>
      </w:r>
      <w:r>
        <w:tab/>
        <w:t xml:space="preserve"> </w:t>
      </w:r>
      <w:bookmarkStart w:id="2" w:name="_Toc293718"/>
      <w:r w:rsidRPr="00945038">
        <w:rPr>
          <w:rFonts w:ascii="Cambria" w:hAnsi="Cambria" w:cs="Cambria"/>
          <w:b/>
          <w:color w:val="C00000"/>
          <w:sz w:val="26"/>
          <w:lang w:eastAsia="sk-SK"/>
        </w:rPr>
        <w:t xml:space="preserve">Základné údaje o obci </w:t>
      </w:r>
      <w:bookmarkEnd w:id="2"/>
    </w:p>
    <w:p w:rsidR="003438E1" w:rsidRPr="00945038" w:rsidRDefault="003438E1" w:rsidP="003438E1">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lang w:eastAsia="sk-SK"/>
        </w:rPr>
        <w:t xml:space="preserve"> </w:t>
      </w:r>
    </w:p>
    <w:tbl>
      <w:tblPr>
        <w:tblW w:w="9211" w:type="dxa"/>
        <w:tblInd w:w="-69" w:type="dxa"/>
        <w:tblCellMar>
          <w:left w:w="10" w:type="dxa"/>
          <w:right w:w="10" w:type="dxa"/>
        </w:tblCellMar>
        <w:tblLook w:val="0000" w:firstRow="0" w:lastRow="0" w:firstColumn="0" w:lastColumn="0" w:noHBand="0" w:noVBand="0"/>
      </w:tblPr>
      <w:tblGrid>
        <w:gridCol w:w="3670"/>
        <w:gridCol w:w="5541"/>
      </w:tblGrid>
      <w:tr w:rsidR="003438E1" w:rsidRPr="00945038" w:rsidTr="00E56919">
        <w:trPr>
          <w:trHeight w:val="276"/>
        </w:trPr>
        <w:tc>
          <w:tcPr>
            <w:tcW w:w="3670" w:type="dxa"/>
            <w:tcBorders>
              <w:top w:val="double" w:sz="4" w:space="0" w:color="000000"/>
              <w:left w:val="double" w:sz="4" w:space="0" w:color="000000"/>
              <w:bottom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Obec </w:t>
            </w:r>
            <w:r>
              <w:rPr>
                <w:rFonts w:ascii="Calibri" w:hAnsi="Calibri" w:cs="Calibri"/>
                <w:color w:val="000000"/>
                <w:sz w:val="20"/>
                <w:lang w:eastAsia="sk-SK"/>
              </w:rPr>
              <w:t>Dubové</w:t>
            </w:r>
            <w:r w:rsidRPr="00945038">
              <w:rPr>
                <w:rFonts w:ascii="Calibri" w:hAnsi="Calibri" w:cs="Calibri"/>
                <w:color w:val="000000"/>
                <w:sz w:val="20"/>
                <w:lang w:eastAsia="sk-SK"/>
              </w:rPr>
              <w:t xml:space="preserve"> </w:t>
            </w:r>
          </w:p>
        </w:tc>
        <w:tc>
          <w:tcPr>
            <w:tcW w:w="5541" w:type="dxa"/>
            <w:tcBorders>
              <w:top w:val="double" w:sz="4" w:space="0" w:color="000000"/>
              <w:bottom w:val="doub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line="256" w:lineRule="auto"/>
              <w:textAlignment w:val="baseline"/>
              <w:rPr>
                <w:rFonts w:ascii="Calibri" w:hAnsi="Calibri" w:cs="Calibri"/>
                <w:color w:val="000000"/>
                <w:lang w:eastAsia="sk-SK"/>
              </w:rPr>
            </w:pPr>
          </w:p>
        </w:tc>
      </w:tr>
      <w:tr w:rsidR="003438E1" w:rsidRPr="00945038" w:rsidTr="00E56919">
        <w:trPr>
          <w:trHeight w:val="264"/>
        </w:trPr>
        <w:tc>
          <w:tcPr>
            <w:tcW w:w="3670" w:type="dxa"/>
            <w:tcBorders>
              <w:top w:val="doub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Samosprávny kraj </w:t>
            </w:r>
          </w:p>
        </w:tc>
        <w:tc>
          <w:tcPr>
            <w:tcW w:w="5541" w:type="dxa"/>
            <w:tcBorders>
              <w:top w:val="doub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Pr>
                <w:rFonts w:ascii="Calibri" w:hAnsi="Calibri" w:cs="Calibri"/>
                <w:color w:val="000000"/>
                <w:sz w:val="20"/>
                <w:lang w:eastAsia="sk-SK"/>
              </w:rPr>
              <w:t>Žilinský</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Okres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Pr>
                <w:rFonts w:ascii="Calibri" w:hAnsi="Calibri" w:cs="Calibri"/>
                <w:color w:val="000000"/>
                <w:sz w:val="20"/>
                <w:lang w:eastAsia="sk-SK"/>
              </w:rPr>
              <w:t>Turčianske Teplice</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Miestne časti obce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7D1AAE" w:rsidRDefault="003438E1" w:rsidP="00E56919">
            <w:pPr>
              <w:suppressAutoHyphens/>
              <w:autoSpaceDN w:val="0"/>
              <w:spacing w:after="0" w:line="256" w:lineRule="auto"/>
              <w:textAlignment w:val="baseline"/>
              <w:rPr>
                <w:rFonts w:ascii="Calibri" w:hAnsi="Calibri" w:cs="Calibri"/>
                <w:b/>
                <w:color w:val="000000"/>
                <w:sz w:val="20"/>
                <w:szCs w:val="20"/>
                <w:lang w:val="cs-CZ" w:eastAsia="sk-SK"/>
              </w:rPr>
            </w:pPr>
            <w:r w:rsidRPr="007D1AAE">
              <w:rPr>
                <w:rFonts w:ascii="Calibri" w:hAnsi="Calibri" w:cs="Calibri"/>
                <w:b/>
                <w:color w:val="000000"/>
                <w:sz w:val="20"/>
                <w:szCs w:val="20"/>
                <w:lang w:val="cs-CZ" w:eastAsia="sk-SK"/>
              </w:rPr>
              <w:t>Dubové – hlavná časť</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val="cs-CZ" w:eastAsia="sk-SK"/>
              </w:rPr>
            </w:pPr>
            <w:r w:rsidRPr="007D1AAE">
              <w:rPr>
                <w:rFonts w:ascii="Calibri" w:hAnsi="Calibri" w:cs="Calibri"/>
                <w:color w:val="000000"/>
                <w:sz w:val="20"/>
                <w:szCs w:val="20"/>
                <w:lang w:val="cs-CZ" w:eastAsia="sk-SK"/>
              </w:rPr>
              <w:t>Územie reprezentuje pôvodné najstaršie, najviac zastavané územie na ľavom brehu rieky Turiec so zástavbou po oboch stranách jej prítoku Besná voda.</w:t>
            </w:r>
          </w:p>
          <w:p w:rsidR="003438E1" w:rsidRPr="007D1AAE" w:rsidRDefault="003438E1" w:rsidP="00E56919">
            <w:pPr>
              <w:suppressAutoHyphens/>
              <w:autoSpaceDN w:val="0"/>
              <w:spacing w:after="0" w:line="256" w:lineRule="auto"/>
              <w:textAlignment w:val="baseline"/>
              <w:rPr>
                <w:rFonts w:ascii="Calibri" w:hAnsi="Calibri" w:cs="Calibri"/>
                <w:b/>
                <w:color w:val="000000"/>
                <w:sz w:val="20"/>
                <w:szCs w:val="20"/>
                <w:lang w:eastAsia="sk-SK"/>
              </w:rPr>
            </w:pPr>
            <w:r w:rsidRPr="007D1AAE">
              <w:rPr>
                <w:rFonts w:ascii="Calibri" w:hAnsi="Calibri" w:cs="Calibri"/>
                <w:b/>
                <w:color w:val="000000"/>
                <w:sz w:val="20"/>
                <w:szCs w:val="20"/>
                <w:lang w:eastAsia="sk-SK"/>
              </w:rPr>
              <w:t>Dubové – nová časť (Záturčie)</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eastAsia="sk-SK"/>
              </w:rPr>
            </w:pPr>
            <w:r w:rsidRPr="007D1AAE">
              <w:rPr>
                <w:rFonts w:ascii="Calibri" w:hAnsi="Calibri" w:cs="Calibri"/>
                <w:color w:val="000000"/>
                <w:sz w:val="20"/>
                <w:szCs w:val="20"/>
                <w:lang w:eastAsia="sk-SK"/>
              </w:rPr>
              <w:lastRenderedPageBreak/>
              <w:t>Územie reprezentuje nová výstavba, hlavne obytná z druhej polovice 20. storočia, na pravom brehu rieky Turiec. V tejto miestnej časti sa nachádza aj HBV.</w:t>
            </w:r>
          </w:p>
          <w:p w:rsidR="003438E1" w:rsidRPr="007D1AAE" w:rsidRDefault="003438E1" w:rsidP="00E56919">
            <w:pPr>
              <w:suppressAutoHyphens/>
              <w:autoSpaceDN w:val="0"/>
              <w:spacing w:after="0" w:line="256" w:lineRule="auto"/>
              <w:textAlignment w:val="baseline"/>
              <w:rPr>
                <w:rFonts w:ascii="Calibri" w:hAnsi="Calibri" w:cs="Calibri"/>
                <w:b/>
                <w:color w:val="000000"/>
                <w:sz w:val="20"/>
                <w:szCs w:val="20"/>
                <w:lang w:val="cs-CZ" w:eastAsia="sk-SK"/>
              </w:rPr>
            </w:pPr>
            <w:r w:rsidRPr="007D1AAE">
              <w:rPr>
                <w:rFonts w:ascii="Calibri" w:hAnsi="Calibri" w:cs="Calibri"/>
                <w:b/>
                <w:color w:val="000000"/>
                <w:sz w:val="20"/>
                <w:szCs w:val="20"/>
                <w:lang w:val="cs-CZ" w:eastAsia="sk-SK"/>
              </w:rPr>
              <w:t>Areál PD</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val="cs-CZ" w:eastAsia="sk-SK"/>
              </w:rPr>
            </w:pPr>
            <w:r w:rsidRPr="007D1AAE">
              <w:rPr>
                <w:rFonts w:ascii="Calibri" w:hAnsi="Calibri" w:cs="Calibri"/>
                <w:color w:val="000000"/>
                <w:sz w:val="20"/>
                <w:szCs w:val="20"/>
                <w:lang w:val="cs-CZ" w:eastAsia="sk-SK"/>
              </w:rPr>
              <w:t>Územie v prevažnej miere reprezentuje výstavba v areáli PD Dubové so zameraním na živočíšnu a rastlinnú výrobu. Okrem tejto rozhodujúcej plochy sa v tejto miestnej časti nachádza aj menšie územie s IBV.</w:t>
            </w:r>
          </w:p>
          <w:p w:rsidR="003438E1" w:rsidRPr="007D1AAE" w:rsidRDefault="003438E1" w:rsidP="00E56919">
            <w:pPr>
              <w:suppressAutoHyphens/>
              <w:autoSpaceDN w:val="0"/>
              <w:spacing w:after="0" w:line="256" w:lineRule="auto"/>
              <w:textAlignment w:val="baseline"/>
              <w:rPr>
                <w:rFonts w:ascii="Calibri" w:hAnsi="Calibri" w:cs="Calibri"/>
                <w:b/>
                <w:color w:val="000000"/>
                <w:sz w:val="20"/>
                <w:szCs w:val="20"/>
                <w:lang w:eastAsia="sk-SK"/>
              </w:rPr>
            </w:pPr>
            <w:r w:rsidRPr="007D1AAE">
              <w:rPr>
                <w:rFonts w:ascii="Calibri" w:hAnsi="Calibri" w:cs="Calibri"/>
                <w:b/>
                <w:color w:val="000000"/>
                <w:sz w:val="20"/>
                <w:szCs w:val="20"/>
                <w:lang w:eastAsia="sk-SK"/>
              </w:rPr>
              <w:t>Požehy</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val="cs-CZ" w:eastAsia="sk-SK"/>
              </w:rPr>
            </w:pPr>
            <w:r w:rsidRPr="007D1AAE">
              <w:rPr>
                <w:rFonts w:ascii="Calibri" w:hAnsi="Calibri" w:cs="Calibri"/>
                <w:color w:val="000000"/>
                <w:sz w:val="20"/>
                <w:szCs w:val="20"/>
                <w:lang w:eastAsia="sk-SK"/>
              </w:rPr>
              <w:t>Územie reprezentuje funkčne zmiešaná zóna s rybníkmi a rybným hospodárstvom, drevovýrobou a malou obytnou časťou</w:t>
            </w:r>
            <w:r w:rsidRPr="007D1AAE">
              <w:rPr>
                <w:rFonts w:ascii="Calibri" w:hAnsi="Calibri" w:cs="Calibri"/>
                <w:color w:val="000000"/>
                <w:sz w:val="20"/>
                <w:szCs w:val="20"/>
                <w:lang w:val="cs-CZ" w:eastAsia="sk-SK"/>
              </w:rPr>
              <w:t xml:space="preserve"> .</w:t>
            </w:r>
          </w:p>
          <w:p w:rsidR="003438E1" w:rsidRPr="007D1AAE" w:rsidRDefault="003438E1" w:rsidP="00E56919">
            <w:pPr>
              <w:suppressAutoHyphens/>
              <w:autoSpaceDN w:val="0"/>
              <w:spacing w:after="0" w:line="256" w:lineRule="auto"/>
              <w:textAlignment w:val="baseline"/>
              <w:rPr>
                <w:rFonts w:ascii="Calibri" w:hAnsi="Calibri" w:cs="Calibri"/>
                <w:b/>
                <w:color w:val="000000"/>
                <w:sz w:val="20"/>
                <w:szCs w:val="20"/>
                <w:lang w:val="cs-CZ" w:eastAsia="sk-SK"/>
              </w:rPr>
            </w:pPr>
            <w:r w:rsidRPr="007D1AAE">
              <w:rPr>
                <w:rFonts w:ascii="Calibri" w:hAnsi="Calibri" w:cs="Calibri"/>
                <w:b/>
                <w:color w:val="000000"/>
                <w:sz w:val="20"/>
                <w:szCs w:val="20"/>
                <w:lang w:val="cs-CZ" w:eastAsia="sk-SK"/>
              </w:rPr>
              <w:t>Haľaksince a Kukovské (rekreačné územia)</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eastAsia="sk-SK"/>
              </w:rPr>
            </w:pPr>
            <w:r w:rsidRPr="007D1AAE">
              <w:rPr>
                <w:rFonts w:ascii="Calibri" w:hAnsi="Calibri" w:cs="Calibri"/>
                <w:color w:val="000000"/>
                <w:sz w:val="20"/>
                <w:szCs w:val="20"/>
                <w:lang w:eastAsia="sk-SK"/>
              </w:rPr>
              <w:t>V rámci lesa v pohorí Žiar sú umiestnené dve malé zóny s rekreačnými chatami.</w:t>
            </w:r>
          </w:p>
          <w:p w:rsidR="003438E1" w:rsidRDefault="003438E1" w:rsidP="00E56919">
            <w:pPr>
              <w:suppressAutoHyphens/>
              <w:autoSpaceDN w:val="0"/>
              <w:spacing w:after="0" w:line="256" w:lineRule="auto"/>
              <w:textAlignment w:val="baseline"/>
              <w:rPr>
                <w:rFonts w:ascii="Calibri" w:hAnsi="Calibri" w:cs="Calibri"/>
                <w:b/>
                <w:color w:val="000000"/>
                <w:sz w:val="20"/>
                <w:szCs w:val="20"/>
                <w:lang w:eastAsia="sk-SK"/>
              </w:rPr>
            </w:pPr>
            <w:r w:rsidRPr="007D1AAE">
              <w:rPr>
                <w:rFonts w:ascii="Calibri" w:hAnsi="Calibri" w:cs="Calibri"/>
                <w:b/>
                <w:color w:val="000000"/>
                <w:sz w:val="20"/>
                <w:szCs w:val="20"/>
                <w:lang w:eastAsia="sk-SK"/>
              </w:rPr>
              <w:t>Zverín (rekreačné územie)</w:t>
            </w:r>
          </w:p>
          <w:p w:rsidR="003438E1" w:rsidRPr="007D1AAE" w:rsidRDefault="003438E1" w:rsidP="00E56919">
            <w:pPr>
              <w:suppressAutoHyphens/>
              <w:autoSpaceDN w:val="0"/>
              <w:spacing w:after="0" w:line="256" w:lineRule="auto"/>
              <w:textAlignment w:val="baseline"/>
              <w:rPr>
                <w:rFonts w:ascii="Calibri" w:hAnsi="Calibri" w:cs="Calibri"/>
                <w:color w:val="000000"/>
                <w:sz w:val="20"/>
                <w:szCs w:val="20"/>
                <w:lang w:val="cs-CZ" w:eastAsia="sk-SK"/>
              </w:rPr>
            </w:pPr>
            <w:r w:rsidRPr="007D1AAE">
              <w:rPr>
                <w:rFonts w:ascii="Calibri" w:hAnsi="Calibri" w:cs="Calibri"/>
                <w:color w:val="000000"/>
                <w:sz w:val="20"/>
                <w:szCs w:val="20"/>
                <w:lang w:eastAsia="sk-SK"/>
              </w:rPr>
              <w:t>Malá zóna v rámci nezalesnenej plochy</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sz w:val="20"/>
                <w:lang w:eastAsia="sk-SK"/>
              </w:rPr>
            </w:pPr>
            <w:r>
              <w:rPr>
                <w:rFonts w:ascii="Calibri" w:hAnsi="Calibri" w:cs="Calibri"/>
                <w:color w:val="000000"/>
                <w:sz w:val="20"/>
                <w:lang w:eastAsia="sk-SK"/>
              </w:rPr>
              <w:lastRenderedPageBreak/>
              <w:t>Vodné toky</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Turiec, Besná voda</w:t>
            </w:r>
          </w:p>
        </w:tc>
      </w:tr>
      <w:tr w:rsidR="003438E1" w:rsidRPr="00945038" w:rsidTr="00E56919">
        <w:trPr>
          <w:trHeight w:val="742"/>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Starosta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Pr>
                <w:rFonts w:ascii="Calibri" w:hAnsi="Calibri" w:cs="Calibri"/>
                <w:color w:val="000000"/>
                <w:sz w:val="20"/>
                <w:lang w:eastAsia="sk-SK"/>
              </w:rPr>
              <w:t>Ing. Ľubomír Lettrich</w:t>
            </w:r>
          </w:p>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Telefón: +42142 </w:t>
            </w:r>
            <w:r w:rsidRPr="00874828">
              <w:rPr>
                <w:rFonts w:ascii="Calibri" w:hAnsi="Calibri" w:cs="Calibri"/>
                <w:color w:val="000000"/>
                <w:sz w:val="20"/>
                <w:lang w:eastAsia="sk-SK"/>
              </w:rPr>
              <w:t>4921053</w:t>
            </w:r>
          </w:p>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E-mail: </w:t>
            </w:r>
            <w:hyperlink r:id="rId7" w:history="1">
              <w:r w:rsidRPr="00874828">
                <w:rPr>
                  <w:rStyle w:val="Hypertextovprepojenie"/>
                  <w:rFonts w:ascii="Calibri" w:hAnsi="Calibri" w:cs="Calibri"/>
                  <w:sz w:val="20"/>
                  <w:lang w:eastAsia="sk-SK"/>
                </w:rPr>
                <w:t>oudubove@gaya.sk</w:t>
              </w:r>
            </w:hyperlink>
            <w:r w:rsidRPr="00874828">
              <w:rPr>
                <w:rFonts w:ascii="Calibri" w:hAnsi="Calibri" w:cs="Calibri"/>
                <w:color w:val="000000"/>
                <w:sz w:val="20"/>
                <w:lang w:eastAsia="sk-SK"/>
              </w:rPr>
              <w:t xml:space="preserve">; dubove@dubove.sk   </w:t>
            </w:r>
          </w:p>
        </w:tc>
      </w:tr>
      <w:tr w:rsidR="003438E1" w:rsidRPr="00945038" w:rsidTr="00E56919">
        <w:trPr>
          <w:trHeight w:val="74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Obecný úrad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Pr>
                <w:rFonts w:ascii="Calibri" w:hAnsi="Calibri" w:cs="Calibri"/>
                <w:color w:val="000000"/>
                <w:sz w:val="20"/>
                <w:lang w:eastAsia="sk-SK"/>
              </w:rPr>
              <w:t>Dubové 50, 038 23 Dubové</w:t>
            </w:r>
          </w:p>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Telefón: +42142 </w:t>
            </w:r>
            <w:r w:rsidRPr="00874828">
              <w:rPr>
                <w:rFonts w:ascii="Calibri" w:hAnsi="Calibri" w:cs="Calibri"/>
                <w:color w:val="000000"/>
                <w:sz w:val="20"/>
                <w:lang w:eastAsia="sk-SK"/>
              </w:rPr>
              <w:t>4921053</w:t>
            </w:r>
          </w:p>
          <w:p w:rsidR="003438E1" w:rsidRDefault="003438E1" w:rsidP="00E56919">
            <w:pPr>
              <w:suppressAutoHyphens/>
              <w:autoSpaceDN w:val="0"/>
              <w:spacing w:after="0" w:line="256" w:lineRule="auto"/>
              <w:textAlignment w:val="baseline"/>
              <w:rPr>
                <w:rFonts w:ascii="Calibri" w:hAnsi="Calibri" w:cs="Calibri"/>
                <w:color w:val="000000"/>
                <w:sz w:val="20"/>
                <w:lang w:eastAsia="sk-SK"/>
              </w:rPr>
            </w:pPr>
            <w:r w:rsidRPr="00945038">
              <w:rPr>
                <w:rFonts w:ascii="Calibri" w:hAnsi="Calibri" w:cs="Calibri"/>
                <w:color w:val="000000"/>
                <w:sz w:val="20"/>
                <w:lang w:eastAsia="sk-SK"/>
              </w:rPr>
              <w:t xml:space="preserve">E-mail: </w:t>
            </w:r>
            <w:hyperlink r:id="rId8" w:history="1">
              <w:r w:rsidRPr="00874828">
                <w:rPr>
                  <w:rStyle w:val="Hypertextovprepojenie"/>
                  <w:rFonts w:ascii="Calibri" w:hAnsi="Calibri" w:cs="Calibri"/>
                  <w:sz w:val="20"/>
                  <w:lang w:eastAsia="sk-SK"/>
                </w:rPr>
                <w:t>oudubove@gaya.sk</w:t>
              </w:r>
            </w:hyperlink>
            <w:r w:rsidRPr="00874828">
              <w:rPr>
                <w:rFonts w:ascii="Calibri" w:hAnsi="Calibri" w:cs="Calibri"/>
                <w:color w:val="000000"/>
                <w:sz w:val="20"/>
                <w:lang w:eastAsia="sk-SK"/>
              </w:rPr>
              <w:t xml:space="preserve">; dubove@dubove.sk   </w:t>
            </w:r>
          </w:p>
          <w:p w:rsidR="003438E1" w:rsidRPr="00945038" w:rsidRDefault="00741DEC" w:rsidP="00E56919">
            <w:pPr>
              <w:suppressAutoHyphens/>
              <w:autoSpaceDN w:val="0"/>
              <w:spacing w:after="0" w:line="256" w:lineRule="auto"/>
              <w:textAlignment w:val="baseline"/>
              <w:rPr>
                <w:rFonts w:ascii="Calibri" w:hAnsi="Calibri" w:cs="Calibri"/>
                <w:color w:val="000000"/>
                <w:lang w:eastAsia="sk-SK"/>
              </w:rPr>
            </w:pPr>
            <w:hyperlink r:id="rId9" w:history="1">
              <w:r w:rsidR="003438E1" w:rsidRPr="0078348A">
                <w:rPr>
                  <w:rStyle w:val="Hypertextovprepojenie"/>
                  <w:rFonts w:ascii="Calibri" w:hAnsi="Calibri" w:cs="Calibri"/>
                  <w:sz w:val="20"/>
                  <w:lang w:eastAsia="sk-SK"/>
                </w:rPr>
                <w:t>www.dubove.sk</w:t>
              </w:r>
            </w:hyperlink>
          </w:p>
        </w:tc>
      </w:tr>
      <w:tr w:rsidR="003438E1" w:rsidRPr="00945038" w:rsidTr="00E56919">
        <w:trPr>
          <w:trHeight w:val="252"/>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IČO: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00316636</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DIČ: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2020594708</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Prvá písomná zmienka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v roku 1 262</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Nadmorská výška stredu obce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484 m.n.m.</w:t>
            </w:r>
          </w:p>
        </w:tc>
      </w:tr>
      <w:tr w:rsidR="003438E1" w:rsidRPr="00945038" w:rsidTr="00E56919">
        <w:trPr>
          <w:trHeight w:val="254"/>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Katastrálna výmera (ha)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2 829 ha – 28,29 km2</w:t>
            </w:r>
          </w:p>
        </w:tc>
      </w:tr>
      <w:tr w:rsidR="003438E1" w:rsidRPr="00945038" w:rsidTr="00E56919">
        <w:trPr>
          <w:trHeight w:val="499"/>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ind w:right="1133"/>
              <w:textAlignment w:val="baseline"/>
              <w:rPr>
                <w:rFonts w:ascii="Calibri" w:hAnsi="Calibri" w:cs="Calibri"/>
                <w:color w:val="000000"/>
                <w:lang w:eastAsia="sk-SK"/>
              </w:rPr>
            </w:pPr>
            <w:r w:rsidRPr="00945038">
              <w:rPr>
                <w:rFonts w:ascii="Calibri" w:hAnsi="Calibri" w:cs="Calibri"/>
                <w:color w:val="000000"/>
                <w:sz w:val="20"/>
                <w:lang w:eastAsia="sk-SK"/>
              </w:rPr>
              <w:t>Poč</w:t>
            </w:r>
            <w:r>
              <w:rPr>
                <w:rFonts w:ascii="Calibri" w:hAnsi="Calibri" w:cs="Calibri"/>
                <w:color w:val="000000"/>
                <w:sz w:val="20"/>
                <w:lang w:eastAsia="sk-SK"/>
              </w:rPr>
              <w:t>et obyvateľov obce k 31.12.2015</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Pr>
                <w:rFonts w:ascii="Calibri" w:hAnsi="Calibri" w:cs="Calibri"/>
                <w:color w:val="000000"/>
                <w:lang w:eastAsia="sk-SK"/>
              </w:rPr>
              <w:t>721</w:t>
            </w:r>
          </w:p>
        </w:tc>
      </w:tr>
      <w:tr w:rsidR="003438E1" w:rsidRPr="00945038" w:rsidTr="00E56919">
        <w:trPr>
          <w:trHeight w:val="252"/>
        </w:trPr>
        <w:tc>
          <w:tcPr>
            <w:tcW w:w="3670" w:type="dxa"/>
            <w:tcBorders>
              <w:top w:val="single" w:sz="4" w:space="0" w:color="000000"/>
              <w:left w:val="double" w:sz="4" w:space="0" w:color="000000"/>
              <w:bottom w:val="sing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Geografické súradnice </w:t>
            </w:r>
          </w:p>
        </w:tc>
        <w:tc>
          <w:tcPr>
            <w:tcW w:w="5541" w:type="dxa"/>
            <w:tcBorders>
              <w:top w:val="single" w:sz="4" w:space="0" w:color="000000"/>
              <w:left w:val="single" w:sz="4" w:space="0" w:color="000000"/>
              <w:bottom w:val="sing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874828">
              <w:rPr>
                <w:rFonts w:ascii="Calibri" w:hAnsi="Calibri" w:cs="Calibri"/>
                <w:color w:val="000000"/>
                <w:lang w:eastAsia="sk-SK"/>
              </w:rPr>
              <w:t>GPS: 48°51′24″S 18°47′40″V</w:t>
            </w:r>
          </w:p>
        </w:tc>
      </w:tr>
      <w:tr w:rsidR="003438E1" w:rsidRPr="00945038" w:rsidTr="00E56919">
        <w:trPr>
          <w:trHeight w:val="511"/>
        </w:trPr>
        <w:tc>
          <w:tcPr>
            <w:tcW w:w="3670" w:type="dxa"/>
            <w:tcBorders>
              <w:top w:val="single" w:sz="4" w:space="0" w:color="000000"/>
              <w:left w:val="double" w:sz="4" w:space="0" w:color="000000"/>
              <w:bottom w:val="double" w:sz="4" w:space="0" w:color="000000"/>
              <w:right w:val="sing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textAlignment w:val="baseline"/>
              <w:rPr>
                <w:rFonts w:ascii="Calibri" w:hAnsi="Calibri" w:cs="Calibri"/>
                <w:color w:val="000000"/>
                <w:lang w:eastAsia="sk-SK"/>
              </w:rPr>
            </w:pPr>
            <w:r w:rsidRPr="00945038">
              <w:rPr>
                <w:rFonts w:ascii="Calibri" w:hAnsi="Calibri" w:cs="Calibri"/>
                <w:color w:val="000000"/>
                <w:sz w:val="20"/>
                <w:lang w:eastAsia="sk-SK"/>
              </w:rPr>
              <w:t xml:space="preserve">Vzdialenosť do okresného a krajského mesta  </w:t>
            </w:r>
          </w:p>
        </w:tc>
        <w:tc>
          <w:tcPr>
            <w:tcW w:w="5541" w:type="dxa"/>
            <w:tcBorders>
              <w:top w:val="single" w:sz="4" w:space="0" w:color="000000"/>
              <w:left w:val="single" w:sz="4" w:space="0" w:color="000000"/>
              <w:bottom w:val="double" w:sz="4" w:space="0" w:color="000000"/>
              <w:right w:val="double" w:sz="4" w:space="0" w:color="000000"/>
            </w:tcBorders>
            <w:tcMar>
              <w:top w:w="30" w:type="dxa"/>
              <w:left w:w="72" w:type="dxa"/>
              <w:bottom w:w="0" w:type="dxa"/>
              <w:right w:w="481" w:type="dxa"/>
            </w:tcMar>
          </w:tcPr>
          <w:p w:rsidR="003438E1" w:rsidRPr="00945038" w:rsidRDefault="003438E1" w:rsidP="00E56919">
            <w:pPr>
              <w:suppressAutoHyphens/>
              <w:autoSpaceDN w:val="0"/>
              <w:spacing w:after="0" w:line="256" w:lineRule="auto"/>
              <w:ind w:right="3008"/>
              <w:jc w:val="both"/>
              <w:textAlignment w:val="baseline"/>
              <w:rPr>
                <w:rFonts w:ascii="Calibri" w:hAnsi="Calibri" w:cs="Calibri"/>
                <w:color w:val="000000"/>
                <w:lang w:eastAsia="sk-SK"/>
              </w:rPr>
            </w:pPr>
            <w:r>
              <w:rPr>
                <w:rFonts w:ascii="Calibri" w:hAnsi="Calibri" w:cs="Calibri"/>
                <w:color w:val="000000"/>
                <w:sz w:val="20"/>
                <w:lang w:eastAsia="sk-SK"/>
              </w:rPr>
              <w:t>Turčianske Teplice 5 km Žilina</w:t>
            </w:r>
            <w:r w:rsidRPr="00945038">
              <w:rPr>
                <w:rFonts w:ascii="Calibri" w:hAnsi="Calibri" w:cs="Calibri"/>
                <w:color w:val="000000"/>
                <w:sz w:val="20"/>
                <w:lang w:eastAsia="sk-SK"/>
              </w:rPr>
              <w:t xml:space="preserve"> –</w:t>
            </w:r>
            <w:r>
              <w:rPr>
                <w:rFonts w:ascii="Calibri" w:hAnsi="Calibri" w:cs="Calibri"/>
                <w:color w:val="000000"/>
                <w:sz w:val="20"/>
                <w:lang w:eastAsia="sk-SK"/>
              </w:rPr>
              <w:t xml:space="preserve">   65 </w:t>
            </w:r>
            <w:r w:rsidRPr="00945038">
              <w:rPr>
                <w:rFonts w:ascii="Calibri" w:hAnsi="Calibri" w:cs="Calibri"/>
                <w:color w:val="000000"/>
                <w:sz w:val="20"/>
                <w:lang w:eastAsia="sk-SK"/>
              </w:rPr>
              <w:t xml:space="preserve">km  </w:t>
            </w:r>
          </w:p>
        </w:tc>
      </w:tr>
    </w:tbl>
    <w:p w:rsidR="003438E1" w:rsidRPr="00945038" w:rsidRDefault="003438E1" w:rsidP="003438E1">
      <w:pPr>
        <w:suppressAutoHyphens/>
        <w:autoSpaceDN w:val="0"/>
        <w:spacing w:after="256" w:line="256" w:lineRule="auto"/>
        <w:textAlignment w:val="baseline"/>
        <w:rPr>
          <w:rFonts w:ascii="Calibri" w:hAnsi="Calibri" w:cs="Calibri"/>
          <w:color w:val="000000"/>
          <w:lang w:eastAsia="sk-SK"/>
        </w:rPr>
      </w:pPr>
      <w:r w:rsidRPr="00945038">
        <w:rPr>
          <w:rFonts w:ascii="Calibri" w:hAnsi="Calibri" w:cs="Calibri"/>
          <w:color w:val="000000"/>
          <w:lang w:eastAsia="sk-SK"/>
        </w:rPr>
        <w:t xml:space="preserve"> </w:t>
      </w:r>
    </w:p>
    <w:p w:rsidR="003438E1" w:rsidRPr="00945038" w:rsidRDefault="003438E1" w:rsidP="003438E1">
      <w:pPr>
        <w:keepNext/>
        <w:keepLines/>
        <w:suppressAutoHyphens/>
        <w:autoSpaceDN w:val="0"/>
        <w:spacing w:after="4" w:line="266" w:lineRule="auto"/>
        <w:ind w:left="-5" w:hanging="10"/>
        <w:textAlignment w:val="baseline"/>
        <w:outlineLvl w:val="1"/>
        <w:rPr>
          <w:rFonts w:ascii="Cambria" w:hAnsi="Cambria" w:cs="Cambria"/>
          <w:b/>
          <w:color w:val="C00000"/>
          <w:sz w:val="26"/>
          <w:lang w:eastAsia="sk-SK"/>
        </w:rPr>
      </w:pPr>
      <w:bookmarkStart w:id="3" w:name="_Toc293719"/>
      <w:r w:rsidRPr="00945038">
        <w:rPr>
          <w:rFonts w:ascii="Cambria" w:hAnsi="Cambria" w:cs="Cambria"/>
          <w:b/>
          <w:color w:val="C00000"/>
          <w:sz w:val="26"/>
          <w:lang w:eastAsia="sk-SK"/>
        </w:rPr>
        <w:t xml:space="preserve">Poloha obce </w:t>
      </w:r>
      <w:bookmarkEnd w:id="3"/>
    </w:p>
    <w:p w:rsidR="003438E1" w:rsidRDefault="003438E1" w:rsidP="003438E1"/>
    <w:p w:rsidR="003438E1" w:rsidRPr="0029358D" w:rsidRDefault="003438E1" w:rsidP="003438E1">
      <w:pPr>
        <w:jc w:val="both"/>
      </w:pPr>
      <w:r w:rsidRPr="0029358D">
        <w:t xml:space="preserve">Obec sa nachádza v južnej časti </w:t>
      </w:r>
      <w:hyperlink r:id="rId10" w:tooltip="Turčianska kotlina" w:history="1">
        <w:r w:rsidRPr="0029358D">
          <w:rPr>
            <w:rStyle w:val="Hypertextovprepojenie"/>
          </w:rPr>
          <w:t>Turčianskej kotliny</w:t>
        </w:r>
      </w:hyperlink>
      <w:r w:rsidRPr="0029358D">
        <w:t xml:space="preserve"> pod severovýchodnými svahmi pohoria </w:t>
      </w:r>
      <w:hyperlink r:id="rId11" w:tooltip="Žiar (pohorie)" w:history="1">
        <w:r w:rsidRPr="0029358D">
          <w:rPr>
            <w:rStyle w:val="Hypertextovprepojenie"/>
          </w:rPr>
          <w:t>Žiar</w:t>
        </w:r>
      </w:hyperlink>
      <w:r w:rsidRPr="0029358D">
        <w:t xml:space="preserve">, na ľavom brehu rieky </w:t>
      </w:r>
      <w:hyperlink r:id="rId12" w:tooltip="Turiec (prítok Váhu)" w:history="1">
        <w:r w:rsidRPr="0029358D">
          <w:rPr>
            <w:rStyle w:val="Hypertextovprepojenie"/>
          </w:rPr>
          <w:t>Turiec</w:t>
        </w:r>
      </w:hyperlink>
      <w:r w:rsidRPr="0029358D">
        <w:t xml:space="preserve">. Od okresného mesta </w:t>
      </w:r>
      <w:hyperlink r:id="rId13" w:tooltip="Turčianske Teplice" w:history="1">
        <w:r w:rsidRPr="0029358D">
          <w:rPr>
            <w:rStyle w:val="Hypertextovprepojenie"/>
          </w:rPr>
          <w:t>Turčianske Teplice</w:t>
        </w:r>
      </w:hyperlink>
      <w:r w:rsidRPr="0029358D">
        <w:t xml:space="preserve"> je vzdialená 5 km západne. Približne polovica územia je odlesnená, druhá časť je charakteristická hustými lesmi.</w:t>
      </w:r>
    </w:p>
    <w:p w:rsidR="003438E1" w:rsidRPr="00340C89" w:rsidRDefault="003438E1" w:rsidP="003438E1">
      <w:pPr>
        <w:jc w:val="both"/>
      </w:pPr>
      <w:r w:rsidRPr="00340C89">
        <w:t xml:space="preserve">Dopravná poloha obce je výhodná s cestným prepojením na bližšie i vzdialenejšie okolie. Železničné spojenie je najbližšie v Turčianskych Tepliciach.  Susedné obce sú: Budiš, Kaľamenová, Veľký Čepčín, Turčianske Teplice, Sklené, </w:t>
      </w:r>
      <w:r w:rsidRPr="00340C89">
        <w:rPr>
          <w:lang w:val="cs-CZ"/>
        </w:rPr>
        <w:t xml:space="preserve">a obce okresu Prievidza: Chrenovec, </w:t>
      </w:r>
      <w:r w:rsidRPr="00340C89">
        <w:t xml:space="preserve">Lipník Malá Čausa. Z hľadiska cestnej dopravy obec leží pri ceste III/06545 prepájajúcej cesty I/65 (Turčianske Teplice – Martin) a II/519 (Martin – Prievidza). </w:t>
      </w:r>
    </w:p>
    <w:p w:rsidR="003438E1" w:rsidRPr="00340C89" w:rsidRDefault="003438E1" w:rsidP="003438E1">
      <w:pPr>
        <w:jc w:val="both"/>
      </w:pPr>
      <w:r w:rsidRPr="00340C89">
        <w:lastRenderedPageBreak/>
        <w:t xml:space="preserve">Z administratívneho hľadiska je obec začlenená do okresu </w:t>
      </w:r>
      <w:r>
        <w:t>Turčianske Teplice</w:t>
      </w:r>
      <w:r w:rsidRPr="00340C89">
        <w:t xml:space="preserve"> a Žilinského samosprávneho kraja. Obec je otvorenou ekonomickou a sociálnou jednotkou s väzbami  na svoje okolie, predovšetkým na blízke okresné mesto.</w:t>
      </w:r>
    </w:p>
    <w:p w:rsidR="003438E1" w:rsidRDefault="003438E1" w:rsidP="003438E1"/>
    <w:p w:rsidR="003438E1" w:rsidRDefault="003438E1" w:rsidP="003438E1">
      <w:r w:rsidRPr="00F40BFB">
        <w:rPr>
          <w:rFonts w:ascii="Verdana" w:hAnsi="Verdana"/>
          <w:noProof/>
          <w:lang w:eastAsia="sk-SK"/>
        </w:rPr>
        <w:drawing>
          <wp:inline distT="0" distB="0" distL="0" distR="0" wp14:anchorId="3EA5B656" wp14:editId="7650D9CE">
            <wp:extent cx="2924175" cy="2305050"/>
            <wp:effectExtent l="0" t="0" r="0" b="0"/>
            <wp:docPr id="3" name="Obrázok 4" descr="http://dubove.sk/kontakt/map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http://dubove.sk/kontakt/map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4175" cy="2305050"/>
                    </a:xfrm>
                    <a:prstGeom prst="rect">
                      <a:avLst/>
                    </a:prstGeom>
                    <a:noFill/>
                    <a:ln>
                      <a:noFill/>
                    </a:ln>
                  </pic:spPr>
                </pic:pic>
              </a:graphicData>
            </a:graphic>
          </wp:inline>
        </w:drawing>
      </w:r>
    </w:p>
    <w:p w:rsidR="003438E1" w:rsidRDefault="003438E1" w:rsidP="003438E1">
      <w:r>
        <w:rPr>
          <w:noProof/>
          <w:lang w:eastAsia="sk-SK"/>
        </w:rPr>
        <w:drawing>
          <wp:anchor distT="0" distB="0" distL="114300" distR="114300" simplePos="0" relativeHeight="251659264" behindDoc="0" locked="0" layoutInCell="1" allowOverlap="1" wp14:anchorId="16C0A881" wp14:editId="780D094B">
            <wp:simplePos x="0" y="0"/>
            <wp:positionH relativeFrom="column">
              <wp:posOffset>19050</wp:posOffset>
            </wp:positionH>
            <wp:positionV relativeFrom="paragraph">
              <wp:posOffset>161290</wp:posOffset>
            </wp:positionV>
            <wp:extent cx="2573020" cy="1336675"/>
            <wp:effectExtent l="19050" t="19050" r="0" b="0"/>
            <wp:wrapNone/>
            <wp:docPr id="4" name="Obrázok 2" descr="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s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3020" cy="1336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438E1" w:rsidRDefault="003438E1" w:rsidP="003438E1"/>
    <w:p w:rsidR="003438E1" w:rsidRDefault="003438E1" w:rsidP="003438E1"/>
    <w:p w:rsidR="003438E1" w:rsidRDefault="003438E1" w:rsidP="003438E1"/>
    <w:p w:rsidR="003438E1" w:rsidRDefault="003438E1" w:rsidP="003438E1"/>
    <w:p w:rsidR="003438E1" w:rsidRDefault="003438E1" w:rsidP="003438E1"/>
    <w:p w:rsidR="003438E1" w:rsidRDefault="003438E1" w:rsidP="003438E1"/>
    <w:p w:rsidR="003438E1" w:rsidRDefault="003438E1" w:rsidP="003438E1"/>
    <w:p w:rsidR="003438E1" w:rsidRDefault="003438E1" w:rsidP="003438E1"/>
    <w:p w:rsidR="003438E1" w:rsidRDefault="003438E1" w:rsidP="003438E1">
      <w:pPr>
        <w:keepNext/>
        <w:keepLines/>
        <w:suppressAutoHyphens/>
        <w:autoSpaceDN w:val="0"/>
        <w:spacing w:after="4" w:line="266" w:lineRule="auto"/>
        <w:ind w:left="-5" w:hanging="10"/>
        <w:textAlignment w:val="baseline"/>
        <w:outlineLvl w:val="1"/>
        <w:rPr>
          <w:rFonts w:ascii="Cambria" w:hAnsi="Cambria" w:cs="Cambria"/>
          <w:b/>
          <w:color w:val="C00000"/>
          <w:sz w:val="26"/>
          <w:lang w:eastAsia="sk-SK"/>
        </w:rPr>
      </w:pPr>
      <w:bookmarkStart w:id="4" w:name="_Toc293720"/>
    </w:p>
    <w:p w:rsidR="003438E1" w:rsidRPr="00340C89" w:rsidRDefault="003438E1" w:rsidP="003438E1">
      <w:pPr>
        <w:keepNext/>
        <w:keepLines/>
        <w:suppressAutoHyphens/>
        <w:autoSpaceDN w:val="0"/>
        <w:spacing w:after="4" w:line="266" w:lineRule="auto"/>
        <w:ind w:left="-5" w:hanging="10"/>
        <w:textAlignment w:val="baseline"/>
        <w:outlineLvl w:val="1"/>
        <w:rPr>
          <w:rFonts w:ascii="Cambria" w:hAnsi="Cambria" w:cs="Cambria"/>
          <w:b/>
          <w:color w:val="C00000"/>
          <w:sz w:val="26"/>
          <w:lang w:eastAsia="sk-SK"/>
        </w:rPr>
      </w:pPr>
      <w:r w:rsidRPr="00340C89">
        <w:rPr>
          <w:rFonts w:ascii="Cambria" w:hAnsi="Cambria" w:cs="Cambria"/>
          <w:b/>
          <w:color w:val="C00000"/>
          <w:sz w:val="26"/>
          <w:lang w:eastAsia="sk-SK"/>
        </w:rPr>
        <w:t xml:space="preserve">História obce </w:t>
      </w:r>
      <w:bookmarkEnd w:id="4"/>
    </w:p>
    <w:p w:rsidR="003438E1" w:rsidRPr="00340C89" w:rsidRDefault="003438E1" w:rsidP="003438E1">
      <w:pPr>
        <w:suppressAutoHyphens/>
        <w:autoSpaceDN w:val="0"/>
        <w:spacing w:after="0" w:line="256" w:lineRule="auto"/>
        <w:textAlignment w:val="baseline"/>
        <w:rPr>
          <w:rFonts w:ascii="Calibri" w:hAnsi="Calibri" w:cs="Calibri"/>
          <w:color w:val="000000"/>
          <w:lang w:eastAsia="sk-SK"/>
        </w:rPr>
      </w:pPr>
      <w:r w:rsidRPr="00340C89">
        <w:rPr>
          <w:rFonts w:ascii="Calibri" w:hAnsi="Calibri" w:cs="Calibri"/>
          <w:color w:val="000000"/>
          <w:lang w:eastAsia="sk-SK"/>
        </w:rPr>
        <w:t xml:space="preserve"> </w:t>
      </w:r>
    </w:p>
    <w:p w:rsidR="003438E1" w:rsidRPr="00340C89" w:rsidRDefault="003438E1" w:rsidP="003438E1">
      <w:pPr>
        <w:jc w:val="both"/>
        <w:rPr>
          <w:rFonts w:ascii="Calibri" w:hAnsi="Calibri" w:cs="Calibri"/>
          <w:color w:val="000000"/>
          <w:lang w:eastAsia="sk-SK"/>
        </w:rPr>
      </w:pPr>
      <w:r w:rsidRPr="00340C89">
        <w:rPr>
          <w:rFonts w:ascii="Calibri" w:hAnsi="Calibri" w:cs="Calibri"/>
          <w:color w:val="000000"/>
          <w:lang w:eastAsia="sk-SK"/>
        </w:rPr>
        <w:t xml:space="preserve">Prvá písomná zmienka je datovaná do roku 1262, keď sa spomína pod názvom Doboa, ktorý pochádza od okolitých dubových lesov. Prechádzala tadiaľto aj vedľajšia cesta z Ponitria, preto sa isté obdobie vyberalo v obci polovičné mýto. Obec sa počítala vždy ako portálska, kde žili len poddaní a želiari, pretože svoje podiely tu mali viaceré zemianske rody, ale ani jeden z ich príslušníkov sa v Dubovom natrvalo neusadil. V roku 1715 mala 33 domácnosti, v roku 1828 bolo 96 domov a žilo 498 obyvateľov. Podmienky na život boli veľmi ťažké, dedina bola dlhé roky odrezaná od sveta. Svedčia o tom aj niektoré zachované porekadlá, ako napr. „z Dubového nič dobrého, ani chleba ovseného“. Obci sa nevyhli ani prírodné katastrofy – požiare a povodne. Najhoršia povodeň bola v roku 1984. V roku 1923 vypukol v obci požiar, pri ktorom zhorelo 86 domov. </w:t>
      </w:r>
    </w:p>
    <w:p w:rsidR="003438E1" w:rsidRPr="00340C89" w:rsidRDefault="003438E1" w:rsidP="003438E1">
      <w:pPr>
        <w:jc w:val="both"/>
        <w:rPr>
          <w:rFonts w:ascii="Calibri" w:hAnsi="Calibri" w:cs="Calibri"/>
          <w:color w:val="000000"/>
          <w:lang w:eastAsia="sk-SK"/>
        </w:rPr>
      </w:pPr>
      <w:r w:rsidRPr="00340C89">
        <w:rPr>
          <w:rFonts w:ascii="Calibri" w:hAnsi="Calibri" w:cs="Calibri"/>
          <w:color w:val="000000"/>
          <w:lang w:eastAsia="sk-SK"/>
        </w:rPr>
        <w:t xml:space="preserve">V minulosti bola obec známa chovom dobytka, ťažbou dreva, stolárskym cechom, hrnčiarstvom a olejkárstvom. Medzi rokmi 1916 – 1922 fungovala úzkorozchodná železničná trať Diviaky - Dubové. Železničná trať viedla z drevoskladu na železničnú stanicu Diviaky cez obce Dubové, Budiš do údolia </w:t>
      </w:r>
      <w:r w:rsidRPr="00340C89">
        <w:rPr>
          <w:rFonts w:ascii="Calibri" w:hAnsi="Calibri" w:cs="Calibri"/>
          <w:color w:val="000000"/>
          <w:lang w:eastAsia="sk-SK"/>
        </w:rPr>
        <w:lastRenderedPageBreak/>
        <w:t xml:space="preserve">Veľká Jasenica a merala asi 12 km. Od roku 1793 tu fungoval pivovar. V hornej časti obce sa nachádza zvonica z roku 1873. </w:t>
      </w:r>
    </w:p>
    <w:p w:rsidR="003438E1" w:rsidRPr="00340C89" w:rsidRDefault="003438E1" w:rsidP="003438E1">
      <w:pPr>
        <w:jc w:val="both"/>
        <w:rPr>
          <w:rFonts w:ascii="Calibri" w:hAnsi="Calibri" w:cs="Calibri"/>
          <w:color w:val="000000"/>
          <w:lang w:eastAsia="sk-SK"/>
        </w:rPr>
      </w:pPr>
      <w:r w:rsidRPr="00340C89">
        <w:rPr>
          <w:rFonts w:ascii="Calibri" w:hAnsi="Calibri" w:cs="Calibri"/>
          <w:color w:val="000000"/>
          <w:lang w:eastAsia="sk-SK"/>
        </w:rPr>
        <w:t xml:space="preserve">Obyvatelia obce podporovali SNP a obec bola vyznamenaná Pamätnou medailou SNP. </w:t>
      </w:r>
    </w:p>
    <w:p w:rsidR="003438E1" w:rsidRPr="00340C89" w:rsidRDefault="003438E1" w:rsidP="003438E1">
      <w:pPr>
        <w:jc w:val="both"/>
        <w:rPr>
          <w:rFonts w:ascii="Calibri" w:hAnsi="Calibri" w:cs="Calibri"/>
          <w:color w:val="000000"/>
          <w:lang w:eastAsia="sk-SK"/>
        </w:rPr>
      </w:pPr>
      <w:r w:rsidRPr="00340C89">
        <w:rPr>
          <w:rFonts w:ascii="Calibri" w:hAnsi="Calibri" w:cs="Calibri"/>
          <w:color w:val="000000"/>
          <w:lang w:eastAsia="sk-SK"/>
        </w:rPr>
        <w:t xml:space="preserve">V súčasnosti je Dubové zamerané na poľnohospodársku výrobu, sídli tu Poľnohospodárske družstvo „Turiec“ Dubové. </w:t>
      </w:r>
    </w:p>
    <w:p w:rsidR="003438E1" w:rsidRDefault="003438E1" w:rsidP="003438E1">
      <w:pPr>
        <w:jc w:val="both"/>
        <w:rPr>
          <w:rFonts w:ascii="Calibri" w:hAnsi="Calibri" w:cs="Calibri"/>
          <w:color w:val="000000"/>
          <w:lang w:eastAsia="sk-SK"/>
        </w:rPr>
      </w:pPr>
      <w:r w:rsidRPr="00340C89">
        <w:rPr>
          <w:rFonts w:ascii="Calibri" w:hAnsi="Calibri" w:cs="Calibri"/>
          <w:color w:val="000000"/>
          <w:lang w:eastAsia="sk-SK"/>
        </w:rPr>
        <w:t>Celkový vzhľad obce dotvárajú staré murované domy s vysoko položeným vchodom na bočnej strane, stavebne prispôsobené mierne členitému terénu.</w:t>
      </w:r>
    </w:p>
    <w:p w:rsidR="003438E1" w:rsidRPr="00340C89" w:rsidRDefault="003438E1" w:rsidP="003438E1">
      <w:pPr>
        <w:keepNext/>
        <w:keepLines/>
        <w:pageBreakBefore/>
        <w:suppressAutoHyphens/>
        <w:autoSpaceDN w:val="0"/>
        <w:spacing w:after="2" w:line="256" w:lineRule="auto"/>
        <w:textAlignment w:val="baseline"/>
        <w:outlineLvl w:val="0"/>
        <w:rPr>
          <w:rFonts w:ascii="Cambria" w:hAnsi="Cambria" w:cs="Cambria"/>
          <w:b/>
          <w:color w:val="C00000"/>
          <w:sz w:val="28"/>
          <w:lang w:eastAsia="sk-SK"/>
        </w:rPr>
      </w:pPr>
      <w:bookmarkStart w:id="5" w:name="_Toc293721"/>
      <w:r w:rsidRPr="00340C89">
        <w:rPr>
          <w:rFonts w:ascii="Cambria" w:hAnsi="Cambria" w:cs="Cambria"/>
          <w:b/>
          <w:color w:val="C00000"/>
          <w:sz w:val="28"/>
          <w:lang w:eastAsia="sk-SK"/>
        </w:rPr>
        <w:lastRenderedPageBreak/>
        <w:t xml:space="preserve">I. ANALYTICKÁ ČASŤ </w:t>
      </w:r>
      <w:bookmarkEnd w:id="5"/>
    </w:p>
    <w:p w:rsidR="003438E1" w:rsidRPr="00340C89" w:rsidRDefault="003438E1" w:rsidP="003438E1">
      <w:pPr>
        <w:suppressAutoHyphens/>
        <w:autoSpaceDN w:val="0"/>
        <w:spacing w:after="0" w:line="256" w:lineRule="auto"/>
        <w:textAlignment w:val="baseline"/>
        <w:rPr>
          <w:rFonts w:ascii="Calibri" w:hAnsi="Calibri" w:cs="Calibri"/>
          <w:color w:val="000000"/>
          <w:lang w:eastAsia="sk-SK"/>
        </w:rPr>
      </w:pPr>
      <w:r w:rsidRPr="00340C89">
        <w:rPr>
          <w:rFonts w:ascii="Cambria" w:hAnsi="Cambria" w:cs="Cambria"/>
          <w:b/>
          <w:color w:val="C00000"/>
          <w:sz w:val="26"/>
          <w:lang w:eastAsia="sk-SK"/>
        </w:rPr>
        <w:t xml:space="preserve"> </w:t>
      </w:r>
    </w:p>
    <w:p w:rsidR="003438E1" w:rsidRPr="00340C89" w:rsidRDefault="003438E1" w:rsidP="003438E1">
      <w:pPr>
        <w:keepNext/>
        <w:keepLines/>
        <w:suppressAutoHyphens/>
        <w:autoSpaceDN w:val="0"/>
        <w:spacing w:after="4" w:line="266" w:lineRule="auto"/>
        <w:ind w:left="-5" w:hanging="10"/>
        <w:textAlignment w:val="baseline"/>
        <w:outlineLvl w:val="1"/>
        <w:rPr>
          <w:rFonts w:ascii="Cambria" w:hAnsi="Cambria" w:cs="Cambria"/>
          <w:b/>
          <w:color w:val="C00000"/>
          <w:sz w:val="26"/>
          <w:lang w:eastAsia="sk-SK"/>
        </w:rPr>
      </w:pPr>
      <w:bookmarkStart w:id="6" w:name="_Toc293722"/>
      <w:r w:rsidRPr="00340C89">
        <w:rPr>
          <w:rFonts w:ascii="Cambria" w:hAnsi="Cambria" w:cs="Cambria"/>
          <w:b/>
          <w:color w:val="C00000"/>
          <w:sz w:val="26"/>
          <w:lang w:eastAsia="sk-SK"/>
        </w:rPr>
        <w:t xml:space="preserve">A. Analýza súčasnej úrovne bývania </w:t>
      </w:r>
      <w:bookmarkEnd w:id="6"/>
    </w:p>
    <w:p w:rsidR="003438E1" w:rsidRPr="00340C89" w:rsidRDefault="003438E1" w:rsidP="003438E1">
      <w:pPr>
        <w:suppressAutoHyphens/>
        <w:autoSpaceDN w:val="0"/>
        <w:spacing w:after="0" w:line="256" w:lineRule="auto"/>
        <w:textAlignment w:val="baseline"/>
        <w:rPr>
          <w:rFonts w:ascii="Calibri" w:hAnsi="Calibri" w:cs="Calibri"/>
          <w:color w:val="000000"/>
          <w:lang w:eastAsia="sk-SK"/>
        </w:rPr>
      </w:pPr>
      <w:r w:rsidRPr="00340C89">
        <w:rPr>
          <w:rFonts w:ascii="Calibri" w:hAnsi="Calibri" w:cs="Calibri"/>
          <w:color w:val="000000"/>
          <w:lang w:eastAsia="sk-SK"/>
        </w:rPr>
        <w:t xml:space="preserve"> </w:t>
      </w:r>
    </w:p>
    <w:p w:rsidR="003438E1" w:rsidRPr="00340C89" w:rsidRDefault="003438E1" w:rsidP="003438E1">
      <w:pPr>
        <w:suppressAutoHyphens/>
        <w:autoSpaceDN w:val="0"/>
        <w:spacing w:after="4" w:line="247" w:lineRule="auto"/>
        <w:ind w:left="-5" w:hanging="10"/>
        <w:jc w:val="both"/>
        <w:textAlignment w:val="baseline"/>
        <w:rPr>
          <w:rFonts w:ascii="Calibri" w:hAnsi="Calibri" w:cs="Calibri"/>
          <w:color w:val="000000"/>
          <w:lang w:eastAsia="sk-SK"/>
        </w:rPr>
      </w:pPr>
      <w:r w:rsidRPr="00340C89">
        <w:rPr>
          <w:rFonts w:ascii="Calibri" w:hAnsi="Calibri" w:cs="Calibri"/>
          <w:color w:val="000000"/>
          <w:lang w:eastAsia="sk-SK"/>
        </w:rPr>
        <w:t xml:space="preserve">Cieľom tejto časti dokumentu je zanalyzovať stav bytového fondu v obci a jeho využívanie. </w:t>
      </w:r>
    </w:p>
    <w:p w:rsidR="003438E1" w:rsidRPr="00340C89" w:rsidRDefault="003438E1" w:rsidP="003438E1">
      <w:pPr>
        <w:suppressAutoHyphens/>
        <w:autoSpaceDN w:val="0"/>
        <w:spacing w:after="177" w:line="256" w:lineRule="auto"/>
        <w:textAlignment w:val="baseline"/>
        <w:rPr>
          <w:rFonts w:ascii="Calibri" w:hAnsi="Calibri" w:cs="Calibri"/>
          <w:color w:val="000000"/>
          <w:lang w:eastAsia="sk-SK"/>
        </w:rPr>
      </w:pPr>
      <w:r w:rsidRPr="00340C89">
        <w:rPr>
          <w:rFonts w:ascii="Calibri" w:hAnsi="Calibri" w:cs="Calibri"/>
          <w:color w:val="000000"/>
          <w:lang w:eastAsia="sk-SK"/>
        </w:rPr>
        <w:t xml:space="preserve"> </w:t>
      </w:r>
    </w:p>
    <w:p w:rsidR="003438E1" w:rsidRPr="00340C89" w:rsidRDefault="003438E1" w:rsidP="003438E1">
      <w:pPr>
        <w:keepNext/>
        <w:keepLines/>
        <w:suppressAutoHyphens/>
        <w:autoSpaceDN w:val="0"/>
        <w:spacing w:after="7" w:line="264" w:lineRule="auto"/>
        <w:ind w:left="-5" w:hanging="10"/>
        <w:textAlignment w:val="baseline"/>
        <w:outlineLvl w:val="2"/>
        <w:rPr>
          <w:rFonts w:ascii="Cambria" w:hAnsi="Cambria" w:cs="Cambria"/>
          <w:b/>
          <w:color w:val="C00000"/>
          <w:lang w:eastAsia="sk-SK"/>
        </w:rPr>
      </w:pPr>
      <w:bookmarkStart w:id="7" w:name="_Toc293723"/>
      <w:r w:rsidRPr="00340C89">
        <w:rPr>
          <w:rFonts w:ascii="Cambria" w:hAnsi="Cambria" w:cs="Cambria"/>
          <w:b/>
          <w:color w:val="C00000"/>
          <w:lang w:eastAsia="sk-SK"/>
        </w:rPr>
        <w:t xml:space="preserve">A.1. Zhodnotenie stavu bytového fondu </w:t>
      </w:r>
      <w:bookmarkEnd w:id="7"/>
    </w:p>
    <w:p w:rsidR="003438E1" w:rsidRPr="00340C89" w:rsidRDefault="003438E1" w:rsidP="003438E1">
      <w:pPr>
        <w:suppressAutoHyphens/>
        <w:autoSpaceDN w:val="0"/>
        <w:spacing w:after="0" w:line="256" w:lineRule="auto"/>
        <w:textAlignment w:val="baseline"/>
        <w:rPr>
          <w:rFonts w:ascii="Calibri" w:hAnsi="Calibri" w:cs="Calibri"/>
          <w:color w:val="000000"/>
          <w:lang w:eastAsia="sk-SK"/>
        </w:rPr>
      </w:pPr>
      <w:r w:rsidRPr="00340C89">
        <w:rPr>
          <w:rFonts w:ascii="Calibri" w:hAnsi="Calibri" w:cs="Calibri"/>
          <w:color w:val="000000"/>
          <w:lang w:eastAsia="sk-SK"/>
        </w:rPr>
        <w:t xml:space="preserve"> </w:t>
      </w:r>
    </w:p>
    <w:p w:rsidR="003438E1" w:rsidRPr="00340C89" w:rsidRDefault="003438E1" w:rsidP="003438E1">
      <w:pPr>
        <w:suppressAutoHyphens/>
        <w:autoSpaceDN w:val="0"/>
        <w:spacing w:after="4" w:line="247" w:lineRule="auto"/>
        <w:ind w:left="-5" w:hanging="10"/>
        <w:jc w:val="both"/>
        <w:textAlignment w:val="baseline"/>
        <w:rPr>
          <w:rFonts w:ascii="Calibri" w:hAnsi="Calibri" w:cs="Calibri"/>
          <w:color w:val="000000"/>
          <w:lang w:eastAsia="sk-SK"/>
        </w:rPr>
      </w:pPr>
      <w:r w:rsidRPr="00340C89">
        <w:rPr>
          <w:rFonts w:ascii="Calibri" w:hAnsi="Calibri" w:cs="Calibri"/>
          <w:color w:val="000000"/>
          <w:lang w:eastAsia="sk-SK"/>
        </w:rPr>
        <w:t xml:space="preserve">Jedným z najdôležitejších východísk pri stanovení potreby rozvoja bytovej politiky obce je poznanie kvantitatívnej a kvalitatívnej štruktúry bytového fondu. </w:t>
      </w:r>
    </w:p>
    <w:p w:rsidR="003438E1" w:rsidRDefault="003438E1" w:rsidP="003438E1">
      <w:pPr>
        <w:suppressAutoHyphens/>
        <w:autoSpaceDN w:val="0"/>
        <w:spacing w:after="179" w:line="256" w:lineRule="auto"/>
        <w:textAlignment w:val="baseline"/>
        <w:rPr>
          <w:rFonts w:ascii="Calibri" w:hAnsi="Calibri" w:cs="Calibri"/>
          <w:color w:val="000000"/>
          <w:lang w:eastAsia="sk-SK"/>
        </w:rPr>
      </w:pPr>
      <w:r w:rsidRPr="00340C89">
        <w:rPr>
          <w:rFonts w:ascii="Calibri" w:hAnsi="Calibri" w:cs="Calibri"/>
          <w:color w:val="000000"/>
          <w:lang w:eastAsia="sk-SK"/>
        </w:rPr>
        <w:t xml:space="preserve"> </w:t>
      </w:r>
    </w:p>
    <w:p w:rsidR="003438E1" w:rsidRDefault="003438E1" w:rsidP="003438E1">
      <w:pPr>
        <w:ind w:left="-5" w:right="3964"/>
        <w:rPr>
          <w:rFonts w:ascii="Arial" w:hAnsi="Arial" w:cs="Arial"/>
          <w:b/>
        </w:rPr>
      </w:pPr>
      <w:r>
        <w:rPr>
          <w:rFonts w:ascii="Arial" w:hAnsi="Arial" w:cs="Arial"/>
          <w:b/>
        </w:rPr>
        <w:t xml:space="preserve">Kvantitatívne údaje o bytovom fonde </w:t>
      </w:r>
    </w:p>
    <w:p w:rsidR="003438E1" w:rsidRDefault="003438E1" w:rsidP="003438E1">
      <w:pPr>
        <w:ind w:left="-5" w:right="3964"/>
      </w:pPr>
      <w:r>
        <w:rPr>
          <w:b/>
          <w:i/>
        </w:rPr>
        <w:t xml:space="preserve">Rodinné domy: </w:t>
      </w:r>
    </w:p>
    <w:p w:rsidR="003438E1" w:rsidRDefault="003438E1" w:rsidP="003438E1">
      <w:pPr>
        <w:ind w:left="-5"/>
      </w:pPr>
      <w:r>
        <w:t>Na území  obce Dubové  sa nachádza spolu  290 rodinných domov, z toho 40 rodinných domov je využívaných výlučne na rekreačne účely – chalupárčenie. Trvale obývaných je 250 domov. Vo všetkých domoch je spolu k dispozícii 264 bytov. (podľa štatistiky SODB 2011 a ObÚ Dubové)</w:t>
      </w:r>
    </w:p>
    <w:p w:rsidR="003438E1" w:rsidRDefault="003438E1" w:rsidP="003438E1">
      <w:pPr>
        <w:ind w:left="-5"/>
      </w:pPr>
      <w:r>
        <w:t xml:space="preserve">Všetky rodinné domy sú v súkromnom vlastníctve. Obec nevlastní žiadny rodinný dom. </w:t>
      </w:r>
    </w:p>
    <w:p w:rsidR="003438E1" w:rsidRDefault="003438E1" w:rsidP="003438E1">
      <w:pPr>
        <w:spacing w:after="29"/>
      </w:pPr>
      <w:r>
        <w:t xml:space="preserve"> </w:t>
      </w:r>
    </w:p>
    <w:p w:rsidR="003438E1" w:rsidRDefault="003438E1" w:rsidP="003438E1">
      <w:pPr>
        <w:ind w:left="-5" w:right="2865"/>
      </w:pPr>
      <w:r>
        <w:rPr>
          <w:b/>
          <w:i/>
        </w:rPr>
        <w:t xml:space="preserve">Bytové domy </w:t>
      </w:r>
      <w:r>
        <w:t xml:space="preserve">Na území  obce Dubové  sa nachádzajú  spolu 2 bytové domy. </w:t>
      </w:r>
    </w:p>
    <w:p w:rsidR="003438E1" w:rsidRDefault="003438E1" w:rsidP="003438E1">
      <w:pPr>
        <w:spacing w:after="20"/>
      </w:pPr>
      <w:r>
        <w:t xml:space="preserve">- 2 bytové domy sa nachádzajú v obci, majú spolu 9 bytov a obýva ich spolu </w:t>
      </w:r>
      <w:r w:rsidRPr="00496278">
        <w:rPr>
          <w:u w:val="single"/>
        </w:rPr>
        <w:t>21 obyvateľov</w:t>
      </w:r>
      <w:r>
        <w:t xml:space="preserve"> s trvalým pobytom. Sú využívané na bývanie. </w:t>
      </w:r>
    </w:p>
    <w:p w:rsidR="003438E1" w:rsidRDefault="003438E1" w:rsidP="003438E1">
      <w:pPr>
        <w:spacing w:after="22"/>
      </w:pPr>
    </w:p>
    <w:p w:rsidR="003438E1" w:rsidRDefault="003438E1" w:rsidP="003438E1">
      <w:pPr>
        <w:ind w:left="-5"/>
      </w:pPr>
      <w:r>
        <w:t xml:space="preserve">Všetky bytové domy a byty sú v súkromnom, resp. družstevnom vlastníctve. Obec nevlastní žiadny bytový dom ani byt. </w:t>
      </w:r>
    </w:p>
    <w:p w:rsidR="003438E1" w:rsidRDefault="003438E1" w:rsidP="003438E1">
      <w:pPr>
        <w:spacing w:after="0"/>
      </w:pPr>
      <w:r>
        <w:t xml:space="preserve">  </w:t>
      </w:r>
    </w:p>
    <w:p w:rsidR="003438E1" w:rsidRDefault="003438E1" w:rsidP="003438E1">
      <w:pPr>
        <w:ind w:left="-5"/>
      </w:pPr>
      <w:r>
        <w:t xml:space="preserve">Domy podľa druhu vlastníctva </w:t>
      </w:r>
    </w:p>
    <w:tbl>
      <w:tblPr>
        <w:tblStyle w:val="TableGrid"/>
        <w:tblW w:w="8740" w:type="dxa"/>
        <w:tblInd w:w="-14" w:type="dxa"/>
        <w:tblCellMar>
          <w:top w:w="77" w:type="dxa"/>
          <w:left w:w="70" w:type="dxa"/>
          <w:bottom w:w="5" w:type="dxa"/>
          <w:right w:w="80" w:type="dxa"/>
        </w:tblCellMar>
        <w:tblLook w:val="04A0" w:firstRow="1" w:lastRow="0" w:firstColumn="1" w:lastColumn="0" w:noHBand="0" w:noVBand="1"/>
      </w:tblPr>
      <w:tblGrid>
        <w:gridCol w:w="2162"/>
        <w:gridCol w:w="1718"/>
        <w:gridCol w:w="1601"/>
        <w:gridCol w:w="1901"/>
        <w:gridCol w:w="1358"/>
      </w:tblGrid>
      <w:tr w:rsidR="003438E1" w:rsidTr="00E56919">
        <w:trPr>
          <w:trHeight w:val="505"/>
        </w:trPr>
        <w:tc>
          <w:tcPr>
            <w:tcW w:w="2162"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pPr>
            <w:r>
              <w:t xml:space="preserve"> </w:t>
            </w:r>
            <w:r>
              <w:rPr>
                <w:rFonts w:ascii="Calibri" w:hAnsi="Calibri" w:cs="Calibri"/>
              </w:rPr>
              <w:t xml:space="preserve">  </w:t>
            </w:r>
          </w:p>
        </w:tc>
        <w:tc>
          <w:tcPr>
            <w:tcW w:w="1718"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ind w:left="62"/>
            </w:pPr>
            <w:r>
              <w:rPr>
                <w:rFonts w:ascii="Calibri" w:hAnsi="Calibri" w:cs="Calibri"/>
                <w:b/>
              </w:rPr>
              <w:t xml:space="preserve">Rodinné domy </w:t>
            </w:r>
          </w:p>
        </w:tc>
        <w:tc>
          <w:tcPr>
            <w:tcW w:w="1601"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ind w:left="74"/>
            </w:pPr>
            <w:r>
              <w:rPr>
                <w:rFonts w:ascii="Calibri" w:hAnsi="Calibri" w:cs="Calibri"/>
                <w:b/>
              </w:rPr>
              <w:t xml:space="preserve">Bytové domy </w:t>
            </w:r>
          </w:p>
        </w:tc>
        <w:tc>
          <w:tcPr>
            <w:tcW w:w="1901"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ind w:left="86"/>
            </w:pPr>
            <w:r>
              <w:rPr>
                <w:rFonts w:ascii="Calibri" w:hAnsi="Calibri" w:cs="Calibri"/>
                <w:b/>
              </w:rPr>
              <w:t xml:space="preserve">Ostatné budovy </w:t>
            </w:r>
          </w:p>
        </w:tc>
        <w:tc>
          <w:tcPr>
            <w:tcW w:w="1358"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ind w:left="12"/>
              <w:jc w:val="center"/>
            </w:pPr>
            <w:r>
              <w:rPr>
                <w:rFonts w:ascii="Calibri" w:hAnsi="Calibri" w:cs="Calibri"/>
                <w:b/>
              </w:rPr>
              <w:t xml:space="preserve">Domový </w:t>
            </w:r>
          </w:p>
          <w:p w:rsidR="003438E1" w:rsidRDefault="003438E1" w:rsidP="00E56919">
            <w:pPr>
              <w:spacing w:line="259" w:lineRule="auto"/>
              <w:ind w:left="79"/>
            </w:pPr>
            <w:r>
              <w:rPr>
                <w:rFonts w:ascii="Calibri" w:hAnsi="Calibri" w:cs="Calibri"/>
                <w:b/>
              </w:rPr>
              <w:t xml:space="preserve">fond spolu </w:t>
            </w:r>
          </w:p>
        </w:tc>
      </w:tr>
      <w:tr w:rsidR="003438E1" w:rsidTr="00E56919">
        <w:trPr>
          <w:trHeight w:val="312"/>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Domy spolu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290</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2 </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0</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290</w:t>
            </w: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Trvale obývané domy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250 </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2</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0</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250</w:t>
            </w: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99,00 </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1,00</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0,00 </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V tom vlastníctvo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w:t>
            </w: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Obecné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0 </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w:t>
            </w: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Družstevné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0 </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0</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0</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0</w:t>
            </w:r>
          </w:p>
        </w:tc>
      </w:tr>
      <w:tr w:rsidR="003438E1" w:rsidTr="00E56919">
        <w:trPr>
          <w:trHeight w:val="312"/>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fyzických osôb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168</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10</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0 </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178</w:t>
            </w:r>
          </w:p>
        </w:tc>
      </w:tr>
      <w:tr w:rsidR="003438E1" w:rsidTr="00E56919">
        <w:trPr>
          <w:trHeight w:val="310"/>
        </w:trPr>
        <w:tc>
          <w:tcPr>
            <w:tcW w:w="216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iných subjektov </w:t>
            </w:r>
          </w:p>
        </w:tc>
        <w:tc>
          <w:tcPr>
            <w:tcW w:w="171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0</w:t>
            </w:r>
          </w:p>
        </w:tc>
        <w:tc>
          <w:tcPr>
            <w:tcW w:w="16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0</w:t>
            </w:r>
          </w:p>
        </w:tc>
        <w:tc>
          <w:tcPr>
            <w:tcW w:w="19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0 </w:t>
            </w:r>
          </w:p>
        </w:tc>
        <w:tc>
          <w:tcPr>
            <w:tcW w:w="13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0</w:t>
            </w:r>
          </w:p>
        </w:tc>
      </w:tr>
    </w:tbl>
    <w:p w:rsidR="003438E1" w:rsidRDefault="003438E1" w:rsidP="003438E1">
      <w:pPr>
        <w:spacing w:after="0"/>
      </w:pPr>
      <w:r>
        <w:t xml:space="preserve"> </w:t>
      </w:r>
    </w:p>
    <w:p w:rsidR="003438E1" w:rsidRDefault="003438E1" w:rsidP="003438E1">
      <w:pPr>
        <w:spacing w:after="20"/>
      </w:pPr>
      <w:r>
        <w:rPr>
          <w:rFonts w:ascii="Arial" w:hAnsi="Arial" w:cs="Arial"/>
          <w:b/>
        </w:rPr>
        <w:t xml:space="preserve"> </w:t>
      </w:r>
    </w:p>
    <w:p w:rsidR="003438E1" w:rsidRDefault="003438E1" w:rsidP="003438E1">
      <w:pPr>
        <w:pStyle w:val="Nadpis2"/>
        <w:ind w:left="-5"/>
      </w:pPr>
      <w:r>
        <w:lastRenderedPageBreak/>
        <w:t xml:space="preserve">Kvalitatívna stránka bytového fondu </w:t>
      </w:r>
    </w:p>
    <w:p w:rsidR="003438E1" w:rsidRDefault="003438E1" w:rsidP="003438E1">
      <w:pPr>
        <w:spacing w:after="0"/>
      </w:pPr>
      <w:r>
        <w:rPr>
          <w:rFonts w:ascii="Arial" w:hAnsi="Arial" w:cs="Arial"/>
          <w:b/>
        </w:rPr>
        <w:t xml:space="preserve"> </w:t>
      </w:r>
    </w:p>
    <w:p w:rsidR="003438E1" w:rsidRDefault="003438E1" w:rsidP="003438E1">
      <w:pPr>
        <w:spacing w:after="26"/>
      </w:pPr>
      <w:r>
        <w:rPr>
          <w:rFonts w:ascii="Arial" w:hAnsi="Arial" w:cs="Arial"/>
          <w:b/>
        </w:rPr>
        <w:t xml:space="preserve"> </w:t>
      </w:r>
    </w:p>
    <w:p w:rsidR="003438E1" w:rsidRPr="001811FE" w:rsidRDefault="003438E1" w:rsidP="003438E1">
      <w:pPr>
        <w:ind w:left="-5"/>
        <w:rPr>
          <w:u w:val="single"/>
        </w:rPr>
      </w:pPr>
      <w:r w:rsidRPr="001811FE">
        <w:rPr>
          <w:u w:val="single"/>
        </w:rPr>
        <w:t xml:space="preserve">Priemerný vek rodinných domov   </w:t>
      </w:r>
      <w:r>
        <w:rPr>
          <w:u w:val="single"/>
        </w:rPr>
        <w:t>42</w:t>
      </w:r>
      <w:r w:rsidRPr="001811FE">
        <w:rPr>
          <w:u w:val="single"/>
        </w:rPr>
        <w:t xml:space="preserve"> rokov, bytových domov  21 rokov</w:t>
      </w:r>
      <w:r>
        <w:rPr>
          <w:u w:val="single"/>
        </w:rPr>
        <w:t>.</w:t>
      </w:r>
      <w:r w:rsidRPr="001811FE">
        <w:rPr>
          <w:u w:val="single"/>
        </w:rPr>
        <w:t xml:space="preserve"> </w:t>
      </w:r>
    </w:p>
    <w:p w:rsidR="003438E1" w:rsidRDefault="003438E1" w:rsidP="003438E1">
      <w:pPr>
        <w:spacing w:after="22"/>
      </w:pPr>
      <w:r>
        <w:t xml:space="preserve"> </w:t>
      </w:r>
    </w:p>
    <w:p w:rsidR="003438E1" w:rsidRDefault="003438E1" w:rsidP="003438E1">
      <w:pPr>
        <w:ind w:left="-5" w:right="4494"/>
      </w:pPr>
      <w:r>
        <w:t xml:space="preserve">Technické vybavenie trvale obývaných bytov Z celkového 290 rodinných domov  je: </w:t>
      </w:r>
    </w:p>
    <w:p w:rsidR="003438E1" w:rsidRDefault="003438E1" w:rsidP="003438E1">
      <w:pPr>
        <w:numPr>
          <w:ilvl w:val="0"/>
          <w:numId w:val="2"/>
        </w:numPr>
        <w:spacing w:after="5" w:line="270" w:lineRule="auto"/>
        <w:ind w:hanging="420"/>
      </w:pPr>
      <w:r>
        <w:t xml:space="preserve">250 </w:t>
      </w:r>
      <w:r>
        <w:rPr>
          <w:color w:val="FF0000"/>
        </w:rPr>
        <w:t xml:space="preserve"> </w:t>
      </w:r>
      <w:r>
        <w:t xml:space="preserve">napojených na plyn zo siete pre vykurovanie / čo je 86,21 %/,  </w:t>
      </w:r>
    </w:p>
    <w:p w:rsidR="003438E1" w:rsidRDefault="003438E1" w:rsidP="003438E1">
      <w:pPr>
        <w:numPr>
          <w:ilvl w:val="0"/>
          <w:numId w:val="2"/>
        </w:numPr>
        <w:spacing w:after="5" w:line="270" w:lineRule="auto"/>
        <w:ind w:hanging="420"/>
      </w:pPr>
      <w:r>
        <w:t xml:space="preserve">290 napojených  na verejný vodovod / čo je 100%/  </w:t>
      </w:r>
    </w:p>
    <w:p w:rsidR="003438E1" w:rsidRDefault="003438E1" w:rsidP="003438E1">
      <w:pPr>
        <w:spacing w:after="19"/>
      </w:pPr>
    </w:p>
    <w:p w:rsidR="003438E1" w:rsidRDefault="003438E1" w:rsidP="003438E1">
      <w:pPr>
        <w:ind w:left="-5"/>
      </w:pPr>
      <w:r>
        <w:t xml:space="preserve">Hygienickými zariadeniami je vybavených 100% trvale obývaných bytov. </w:t>
      </w:r>
    </w:p>
    <w:p w:rsidR="003438E1" w:rsidRDefault="003438E1" w:rsidP="003438E1">
      <w:pPr>
        <w:ind w:left="-5"/>
      </w:pPr>
      <w:r>
        <w:t xml:space="preserve">Z tehál a kameňa má obvodové múry  100% rodinných domov a 100% bytových domov. </w:t>
      </w:r>
    </w:p>
    <w:p w:rsidR="003438E1" w:rsidRPr="00765957" w:rsidRDefault="003438E1" w:rsidP="003438E1">
      <w:pPr>
        <w:spacing w:after="0" w:line="276" w:lineRule="auto"/>
      </w:pPr>
      <w:r w:rsidRPr="00765957">
        <w:rPr>
          <w:rFonts w:cs="Arial"/>
          <w:b/>
        </w:rPr>
        <w:t xml:space="preserve">Kanalizácia </w:t>
      </w:r>
    </w:p>
    <w:p w:rsidR="003438E1" w:rsidRPr="00765957" w:rsidRDefault="003438E1" w:rsidP="003438E1">
      <w:pPr>
        <w:autoSpaceDE w:val="0"/>
        <w:autoSpaceDN w:val="0"/>
        <w:adjustRightInd w:val="0"/>
        <w:spacing w:line="276" w:lineRule="auto"/>
        <w:jc w:val="both"/>
        <w:rPr>
          <w:rFonts w:cs="Arial"/>
        </w:rPr>
      </w:pPr>
      <w:r w:rsidRPr="00765957">
        <w:rPr>
          <w:rFonts w:cs="Arial"/>
        </w:rPr>
        <w:t xml:space="preserve">V súčasnosti obec nedisponuje vybudovanou kanalizáciou. Pripravuje realizácia líniovej stavby odkanalizovania obce a okolitých obcí  v spolupráci so spoločnosťou Turvod a.s.,. V obci je vybudovaná jedna čistička odpadových vôd pre miestnu základnú školu s materskou školou, obecný úradu a kultúrny dom. </w:t>
      </w:r>
    </w:p>
    <w:p w:rsidR="003438E1" w:rsidRPr="00765957" w:rsidRDefault="003438E1" w:rsidP="003438E1">
      <w:pPr>
        <w:autoSpaceDE w:val="0"/>
        <w:autoSpaceDN w:val="0"/>
        <w:adjustRightInd w:val="0"/>
        <w:spacing w:line="276" w:lineRule="auto"/>
        <w:jc w:val="both"/>
        <w:rPr>
          <w:rFonts w:cs="Arial"/>
          <w:b/>
          <w:bCs/>
          <w:i/>
          <w:iCs/>
        </w:rPr>
      </w:pPr>
      <w:r w:rsidRPr="00765957">
        <w:rPr>
          <w:rFonts w:cs="Arial"/>
          <w:b/>
          <w:bCs/>
          <w:i/>
          <w:iCs/>
        </w:rPr>
        <w:t>Vodovod</w:t>
      </w:r>
    </w:p>
    <w:p w:rsidR="003438E1" w:rsidRPr="00765957" w:rsidRDefault="003438E1" w:rsidP="003438E1">
      <w:pPr>
        <w:autoSpaceDE w:val="0"/>
        <w:autoSpaceDN w:val="0"/>
        <w:adjustRightInd w:val="0"/>
        <w:spacing w:line="276" w:lineRule="auto"/>
        <w:jc w:val="both"/>
        <w:rPr>
          <w:rFonts w:cs="Arial"/>
          <w:color w:val="8496B0" w:themeColor="text2" w:themeTint="99"/>
          <w:lang w:eastAsia="cs-CZ"/>
        </w:rPr>
      </w:pPr>
      <w:r w:rsidRPr="00765957">
        <w:rPr>
          <w:rFonts w:cs="Arial"/>
        </w:rPr>
        <w:t>Obec Dubové má kompletné pokrytie verejným vodovodom. Prevádzkovateľom vodovodu je Turvod, a.s., so sídlom v  Martine.</w:t>
      </w:r>
    </w:p>
    <w:p w:rsidR="003438E1" w:rsidRDefault="003438E1" w:rsidP="003438E1">
      <w:pPr>
        <w:spacing w:after="0"/>
      </w:pPr>
    </w:p>
    <w:p w:rsidR="003438E1" w:rsidRDefault="003438E1" w:rsidP="003438E1">
      <w:pPr>
        <w:spacing w:after="20"/>
      </w:pPr>
      <w:r>
        <w:rPr>
          <w:rFonts w:ascii="Arial" w:hAnsi="Arial" w:cs="Arial"/>
          <w:b/>
        </w:rPr>
        <w:t xml:space="preserve"> </w:t>
      </w:r>
    </w:p>
    <w:p w:rsidR="003438E1" w:rsidRDefault="003438E1" w:rsidP="003438E1">
      <w:pPr>
        <w:pStyle w:val="Nadpis3"/>
        <w:spacing w:after="5" w:line="270" w:lineRule="auto"/>
        <w:ind w:left="-5"/>
      </w:pPr>
      <w:r>
        <w:rPr>
          <w:rFonts w:ascii="Arial" w:hAnsi="Arial" w:cs="Arial"/>
          <w:b/>
        </w:rPr>
        <w:t xml:space="preserve">2. Zhodnotenie využívania bytového fondu </w:t>
      </w:r>
    </w:p>
    <w:p w:rsidR="003438E1" w:rsidRDefault="003438E1" w:rsidP="003438E1">
      <w:pPr>
        <w:ind w:left="-5" w:right="1767"/>
      </w:pPr>
      <w:r>
        <w:t xml:space="preserve">Z celkového 290 rodinných domov  je 250 trvale obývaných, t.j. 86,21 %. Z celkového počtu 2 bytových domov sú 2 trvale obývané, t.j. 100%.. </w:t>
      </w:r>
    </w:p>
    <w:p w:rsidR="003438E1" w:rsidRDefault="003438E1" w:rsidP="003438E1">
      <w:pPr>
        <w:spacing w:after="22"/>
      </w:pPr>
      <w:r>
        <w:t xml:space="preserve"> </w:t>
      </w:r>
    </w:p>
    <w:p w:rsidR="003438E1" w:rsidRDefault="003438E1" w:rsidP="003438E1">
      <w:pPr>
        <w:ind w:left="-5"/>
      </w:pPr>
      <w:r>
        <w:t xml:space="preserve">Z uvedeného vyplýva, že väčšina obyvateľov Obce Dubové  býva v rodinných domoch. </w:t>
      </w:r>
    </w:p>
    <w:p w:rsidR="003438E1" w:rsidRDefault="003438E1" w:rsidP="003438E1">
      <w:pPr>
        <w:spacing w:after="15"/>
      </w:pPr>
      <w:r>
        <w:t xml:space="preserve"> </w:t>
      </w:r>
    </w:p>
    <w:p w:rsidR="003438E1" w:rsidRDefault="003438E1" w:rsidP="003438E1">
      <w:pPr>
        <w:ind w:left="-5" w:right="92"/>
      </w:pPr>
      <w:r>
        <w:t>Trvalo neobývaných rodinných domov je 40</w:t>
      </w:r>
      <w:r>
        <w:rPr>
          <w:color w:val="FF0000"/>
        </w:rPr>
        <w:t xml:space="preserve">  </w:t>
      </w:r>
      <w:r>
        <w:t xml:space="preserve">( ide o rodinné domy využívané  na rekreáciu a poskytovanie ubytovania, chalupárčenie). </w:t>
      </w:r>
    </w:p>
    <w:p w:rsidR="003438E1" w:rsidRDefault="003438E1" w:rsidP="003438E1">
      <w:pPr>
        <w:spacing w:after="0"/>
      </w:pPr>
      <w:r>
        <w:t xml:space="preserve"> </w:t>
      </w:r>
    </w:p>
    <w:p w:rsidR="003438E1" w:rsidRDefault="003438E1" w:rsidP="003438E1">
      <w:pPr>
        <w:spacing w:after="0"/>
      </w:pPr>
    </w:p>
    <w:p w:rsidR="003438E1" w:rsidRDefault="003438E1" w:rsidP="003438E1">
      <w:pPr>
        <w:spacing w:after="0"/>
      </w:pPr>
    </w:p>
    <w:p w:rsidR="003438E1" w:rsidRDefault="003438E1" w:rsidP="003438E1">
      <w:pPr>
        <w:spacing w:after="0"/>
      </w:pPr>
    </w:p>
    <w:p w:rsidR="003438E1" w:rsidRDefault="003438E1" w:rsidP="003438E1">
      <w:pPr>
        <w:spacing w:after="20"/>
      </w:pPr>
      <w:r>
        <w:rPr>
          <w:rFonts w:ascii="Arial" w:hAnsi="Arial" w:cs="Arial"/>
          <w:b/>
        </w:rPr>
        <w:t xml:space="preserve"> </w:t>
      </w:r>
    </w:p>
    <w:p w:rsidR="003438E1" w:rsidRDefault="003438E1" w:rsidP="003438E1">
      <w:pPr>
        <w:pStyle w:val="Nadpis2"/>
        <w:ind w:left="-5"/>
      </w:pPr>
      <w:r>
        <w:t xml:space="preserve">B. Demografický vývoj a prognóza </w:t>
      </w:r>
    </w:p>
    <w:p w:rsidR="003438E1" w:rsidRDefault="003438E1" w:rsidP="003438E1">
      <w:pPr>
        <w:spacing w:after="22"/>
      </w:pPr>
      <w:r>
        <w:t xml:space="preserve"> </w:t>
      </w:r>
    </w:p>
    <w:p w:rsidR="003438E1" w:rsidRDefault="003438E1" w:rsidP="003438E1">
      <w:pPr>
        <w:spacing w:after="0"/>
        <w:ind w:left="-5"/>
      </w:pPr>
      <w:r>
        <w:rPr>
          <w:u w:val="single" w:color="000000"/>
        </w:rPr>
        <w:t>Vývoj a štruktúra obyvateľstva</w:t>
      </w:r>
      <w:r>
        <w:t xml:space="preserve"> </w:t>
      </w:r>
    </w:p>
    <w:p w:rsidR="003438E1" w:rsidRDefault="003438E1" w:rsidP="003438E1">
      <w:pPr>
        <w:spacing w:after="14"/>
      </w:pPr>
      <w:r>
        <w:t xml:space="preserve"> </w:t>
      </w:r>
    </w:p>
    <w:p w:rsidR="003438E1" w:rsidRDefault="003438E1" w:rsidP="003438E1">
      <w:pPr>
        <w:pStyle w:val="Nadpis3"/>
        <w:ind w:left="-5"/>
      </w:pPr>
      <w:r>
        <w:lastRenderedPageBreak/>
        <w:t xml:space="preserve">Vývoj počtu obyvateľov v rokoch 2005-2013 </w:t>
      </w:r>
    </w:p>
    <w:p w:rsidR="003438E1" w:rsidRDefault="003438E1" w:rsidP="003438E1">
      <w:pPr>
        <w:spacing w:after="0"/>
      </w:pPr>
      <w:r>
        <w:rPr>
          <w:rFonts w:ascii="Arial" w:hAnsi="Arial" w:cs="Arial"/>
          <w:b/>
        </w:rPr>
        <w:t xml:space="preserve"> </w:t>
      </w:r>
    </w:p>
    <w:tbl>
      <w:tblPr>
        <w:tblStyle w:val="TableGrid"/>
        <w:tblW w:w="6759" w:type="dxa"/>
        <w:tblInd w:w="-14" w:type="dxa"/>
        <w:tblCellMar>
          <w:top w:w="77" w:type="dxa"/>
          <w:left w:w="70" w:type="dxa"/>
          <w:bottom w:w="8" w:type="dxa"/>
          <w:right w:w="17" w:type="dxa"/>
        </w:tblCellMar>
        <w:tblLook w:val="04A0" w:firstRow="1" w:lastRow="0" w:firstColumn="1" w:lastColumn="0" w:noHBand="0" w:noVBand="1"/>
      </w:tblPr>
      <w:tblGrid>
        <w:gridCol w:w="1958"/>
        <w:gridCol w:w="742"/>
        <w:gridCol w:w="878"/>
        <w:gridCol w:w="840"/>
        <w:gridCol w:w="780"/>
        <w:gridCol w:w="761"/>
        <w:gridCol w:w="800"/>
      </w:tblGrid>
      <w:tr w:rsidR="003438E1" w:rsidTr="00E56919">
        <w:trPr>
          <w:trHeight w:val="578"/>
        </w:trPr>
        <w:tc>
          <w:tcPr>
            <w:tcW w:w="1958" w:type="dxa"/>
            <w:tcBorders>
              <w:top w:val="single" w:sz="4" w:space="0" w:color="000000"/>
              <w:left w:val="single" w:sz="4" w:space="0" w:color="000000"/>
              <w:bottom w:val="single" w:sz="4" w:space="0" w:color="000000"/>
              <w:right w:val="single" w:sz="4" w:space="0" w:color="000000"/>
            </w:tcBorders>
            <w:vAlign w:val="bottom"/>
          </w:tcPr>
          <w:p w:rsidR="003438E1" w:rsidRDefault="003438E1" w:rsidP="00E56919">
            <w:pPr>
              <w:spacing w:line="259" w:lineRule="auto"/>
            </w:pPr>
            <w:r>
              <w:rPr>
                <w:rFonts w:ascii="Calibri" w:hAnsi="Calibri" w:cs="Calibri"/>
                <w:b/>
              </w:rPr>
              <w:t xml:space="preserve">Rok/ukazovateľ </w:t>
            </w:r>
          </w:p>
        </w:tc>
        <w:tc>
          <w:tcPr>
            <w:tcW w:w="742"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51"/>
              <w:rPr>
                <w:b/>
              </w:rPr>
            </w:pPr>
            <w:r w:rsidRPr="00694F17">
              <w:rPr>
                <w:b/>
              </w:rPr>
              <w:t>2010</w:t>
            </w:r>
          </w:p>
        </w:tc>
        <w:tc>
          <w:tcPr>
            <w:tcW w:w="878"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51"/>
              <w:rPr>
                <w:b/>
              </w:rPr>
            </w:pPr>
            <w:r w:rsidRPr="00694F17">
              <w:rPr>
                <w:b/>
              </w:rPr>
              <w:t>2011</w:t>
            </w:r>
          </w:p>
        </w:tc>
        <w:tc>
          <w:tcPr>
            <w:tcW w:w="840"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49"/>
              <w:rPr>
                <w:b/>
              </w:rPr>
            </w:pPr>
            <w:r w:rsidRPr="00694F17">
              <w:rPr>
                <w:b/>
              </w:rPr>
              <w:t>2012</w:t>
            </w:r>
          </w:p>
        </w:tc>
        <w:tc>
          <w:tcPr>
            <w:tcW w:w="780"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49"/>
              <w:rPr>
                <w:b/>
              </w:rPr>
            </w:pPr>
            <w:r w:rsidRPr="00694F17">
              <w:rPr>
                <w:b/>
              </w:rPr>
              <w:t>2013</w:t>
            </w:r>
          </w:p>
        </w:tc>
        <w:tc>
          <w:tcPr>
            <w:tcW w:w="761"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51"/>
              <w:rPr>
                <w:b/>
              </w:rPr>
            </w:pPr>
            <w:r w:rsidRPr="00694F17">
              <w:rPr>
                <w:b/>
              </w:rPr>
              <w:t>2014</w:t>
            </w:r>
          </w:p>
        </w:tc>
        <w:tc>
          <w:tcPr>
            <w:tcW w:w="800" w:type="dxa"/>
            <w:tcBorders>
              <w:top w:val="single" w:sz="4" w:space="0" w:color="000000"/>
              <w:left w:val="single" w:sz="4" w:space="0" w:color="000000"/>
              <w:bottom w:val="single" w:sz="4" w:space="0" w:color="000000"/>
              <w:right w:val="single" w:sz="4" w:space="0" w:color="000000"/>
            </w:tcBorders>
            <w:vAlign w:val="bottom"/>
          </w:tcPr>
          <w:p w:rsidR="003438E1" w:rsidRPr="00694F17" w:rsidRDefault="003438E1" w:rsidP="00E56919">
            <w:pPr>
              <w:spacing w:line="259" w:lineRule="auto"/>
              <w:ind w:right="49"/>
              <w:rPr>
                <w:b/>
              </w:rPr>
            </w:pPr>
            <w:r w:rsidRPr="00694F17">
              <w:rPr>
                <w:b/>
              </w:rPr>
              <w:t>2015</w:t>
            </w:r>
          </w:p>
        </w:tc>
      </w:tr>
      <w:tr w:rsidR="003438E1" w:rsidTr="00E56919">
        <w:trPr>
          <w:trHeight w:val="312"/>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Počet obyvateľov </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703</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jc w:val="both"/>
            </w:pPr>
            <w:r>
              <w:t>714</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718</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707</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721</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721</w:t>
            </w:r>
          </w:p>
        </w:tc>
      </w:tr>
      <w:tr w:rsidR="003438E1" w:rsidTr="00E56919">
        <w:trPr>
          <w:trHeight w:val="310"/>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t>Narodili sa</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4</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jc w:val="both"/>
            </w:pPr>
            <w:r>
              <w:t>10</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4</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4</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7</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6</w:t>
            </w:r>
          </w:p>
        </w:tc>
      </w:tr>
      <w:tr w:rsidR="003438E1" w:rsidTr="00E56919">
        <w:trPr>
          <w:trHeight w:val="310"/>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t>Prisťahovali sa</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12</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jc w:val="both"/>
            </w:pPr>
            <w:r>
              <w:t>15</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19</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10</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21</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t>12</w:t>
            </w:r>
          </w:p>
        </w:tc>
      </w:tr>
      <w:tr w:rsidR="003438E1" w:rsidTr="00E56919">
        <w:trPr>
          <w:trHeight w:val="310"/>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t>Odsťahovali sa</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rPr>
                <w:rFonts w:ascii="Calibri" w:hAnsi="Calibri" w:cs="Calibri"/>
              </w:rPr>
              <w:t>9</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jc w:val="both"/>
            </w:pPr>
            <w:r>
              <w:rPr>
                <w:rFonts w:ascii="Calibri" w:hAnsi="Calibri" w:cs="Calibri"/>
              </w:rPr>
              <w:t>8</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rPr>
                <w:rFonts w:ascii="Calibri" w:hAnsi="Calibri" w:cs="Calibri"/>
              </w:rPr>
              <w:t>11</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rPr>
                <w:rFonts w:ascii="Calibri" w:hAnsi="Calibri" w:cs="Calibri"/>
              </w:rPr>
              <w:t>13</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rPr>
                <w:rFonts w:ascii="Calibri" w:hAnsi="Calibri" w:cs="Calibri"/>
              </w:rPr>
              <w:t>9</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jc w:val="both"/>
            </w:pPr>
            <w:r>
              <w:rPr>
                <w:rFonts w:ascii="Calibri" w:hAnsi="Calibri" w:cs="Calibri"/>
              </w:rPr>
              <w:t>14</w:t>
            </w:r>
          </w:p>
        </w:tc>
      </w:tr>
      <w:tr w:rsidR="003438E1" w:rsidTr="00E56919">
        <w:trPr>
          <w:trHeight w:val="310"/>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rPr>
                <w:rFonts w:ascii="Calibri" w:hAnsi="Calibri" w:cs="Calibri"/>
              </w:rPr>
            </w:pPr>
            <w:r>
              <w:rPr>
                <w:rFonts w:ascii="Calibri" w:hAnsi="Calibri" w:cs="Calibri"/>
              </w:rPr>
              <w:t>Zomreli</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7</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jc w:val="both"/>
              <w:rPr>
                <w:rFonts w:ascii="Calibri" w:hAnsi="Calibri" w:cs="Calibri"/>
              </w:rPr>
            </w:pPr>
            <w:r>
              <w:rPr>
                <w:rFonts w:ascii="Calibri" w:hAnsi="Calibri" w:cs="Calibri"/>
              </w:rPr>
              <w:t>6</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8</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12</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5</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4</w:t>
            </w:r>
          </w:p>
        </w:tc>
      </w:tr>
      <w:tr w:rsidR="003438E1" w:rsidTr="00E56919">
        <w:trPr>
          <w:trHeight w:val="310"/>
        </w:trPr>
        <w:tc>
          <w:tcPr>
            <w:tcW w:w="1958" w:type="dxa"/>
            <w:tcBorders>
              <w:top w:val="single" w:sz="4" w:space="0" w:color="000000"/>
              <w:left w:val="single" w:sz="4" w:space="0" w:color="000000"/>
              <w:bottom w:val="single" w:sz="4" w:space="0" w:color="000000"/>
              <w:right w:val="single" w:sz="4" w:space="0" w:color="000000"/>
            </w:tcBorders>
          </w:tcPr>
          <w:p w:rsidR="003438E1" w:rsidRDefault="003438E1" w:rsidP="00E56919">
            <w:pPr>
              <w:rPr>
                <w:rFonts w:ascii="Calibri" w:hAnsi="Calibri" w:cs="Calibri"/>
              </w:rPr>
            </w:pPr>
            <w:r>
              <w:rPr>
                <w:rFonts w:ascii="Calibri" w:hAnsi="Calibri" w:cs="Calibri"/>
              </w:rPr>
              <w:t>Prírastok/úbytok</w:t>
            </w:r>
          </w:p>
        </w:tc>
        <w:tc>
          <w:tcPr>
            <w:tcW w:w="742"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0</w:t>
            </w:r>
          </w:p>
        </w:tc>
        <w:tc>
          <w:tcPr>
            <w:tcW w:w="878" w:type="dxa"/>
            <w:tcBorders>
              <w:top w:val="single" w:sz="4" w:space="0" w:color="000000"/>
              <w:left w:val="single" w:sz="4" w:space="0" w:color="000000"/>
              <w:bottom w:val="single" w:sz="4" w:space="0" w:color="000000"/>
              <w:right w:val="single" w:sz="4" w:space="0" w:color="000000"/>
            </w:tcBorders>
          </w:tcPr>
          <w:p w:rsidR="003438E1" w:rsidRDefault="003438E1" w:rsidP="00E56919">
            <w:pPr>
              <w:jc w:val="both"/>
              <w:rPr>
                <w:rFonts w:ascii="Calibri" w:hAnsi="Calibri" w:cs="Calibri"/>
              </w:rPr>
            </w:pPr>
            <w:r>
              <w:rPr>
                <w:rFonts w:ascii="Calibri" w:hAnsi="Calibri" w:cs="Calibri"/>
              </w:rPr>
              <w:t>+11</w:t>
            </w:r>
          </w:p>
        </w:tc>
        <w:tc>
          <w:tcPr>
            <w:tcW w:w="84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4</w:t>
            </w:r>
          </w:p>
        </w:tc>
        <w:tc>
          <w:tcPr>
            <w:tcW w:w="78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-11</w:t>
            </w:r>
          </w:p>
        </w:tc>
        <w:tc>
          <w:tcPr>
            <w:tcW w:w="761"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+14</w:t>
            </w:r>
          </w:p>
        </w:tc>
        <w:tc>
          <w:tcPr>
            <w:tcW w:w="800" w:type="dxa"/>
            <w:tcBorders>
              <w:top w:val="single" w:sz="4" w:space="0" w:color="000000"/>
              <w:left w:val="single" w:sz="4" w:space="0" w:color="000000"/>
              <w:bottom w:val="single" w:sz="4" w:space="0" w:color="000000"/>
              <w:right w:val="single" w:sz="4" w:space="0" w:color="000000"/>
            </w:tcBorders>
          </w:tcPr>
          <w:p w:rsidR="003438E1" w:rsidRDefault="003438E1" w:rsidP="00E56919">
            <w:pPr>
              <w:ind w:left="2"/>
              <w:jc w:val="both"/>
              <w:rPr>
                <w:rFonts w:ascii="Calibri" w:hAnsi="Calibri" w:cs="Calibri"/>
              </w:rPr>
            </w:pPr>
            <w:r>
              <w:rPr>
                <w:rFonts w:ascii="Calibri" w:hAnsi="Calibri" w:cs="Calibri"/>
              </w:rPr>
              <w:t>0</w:t>
            </w:r>
          </w:p>
        </w:tc>
      </w:tr>
    </w:tbl>
    <w:p w:rsidR="003438E1" w:rsidRDefault="003438E1" w:rsidP="003438E1">
      <w:pPr>
        <w:spacing w:after="0"/>
      </w:pPr>
      <w:r>
        <w:t xml:space="preserve"> </w:t>
      </w:r>
    </w:p>
    <w:p w:rsidR="003438E1" w:rsidRDefault="003438E1" w:rsidP="003438E1">
      <w:pPr>
        <w:spacing w:after="0"/>
      </w:pPr>
      <w:r>
        <w:t xml:space="preserve"> </w:t>
      </w:r>
    </w:p>
    <w:p w:rsidR="003438E1" w:rsidRDefault="003438E1" w:rsidP="003438E1">
      <w:pPr>
        <w:ind w:left="-5"/>
      </w:pPr>
      <w:r>
        <w:t xml:space="preserve">Počet obyvateľov v Dubové  od roku 2010  do roku 2015 medziročne stagnoval. Dochádzalo k miernym prírastkom a miernym úbytkom  / priemerný počet zomrelých za rok 7, priemerný počet narodených za rok 6/. </w:t>
      </w:r>
    </w:p>
    <w:p w:rsidR="003438E1" w:rsidRDefault="003438E1" w:rsidP="003438E1">
      <w:pPr>
        <w:spacing w:after="7"/>
      </w:pPr>
      <w:r>
        <w:t xml:space="preserve"> </w:t>
      </w:r>
    </w:p>
    <w:p w:rsidR="003438E1" w:rsidRDefault="003438E1" w:rsidP="003438E1">
      <w:pPr>
        <w:ind w:left="-5"/>
      </w:pPr>
      <w:r>
        <w:t xml:space="preserve">Od roku 2014 dochádza k zmene,  mladí ľudia si zakladajú vlastné rodiny a obec zaznamenáva zvýšený počet novo narodených detí – v roku 2014 spolu 7 deti a v roku 2015 až 6 detí /najviac za posledných 5 rokov to bolo v roku 2011, kedy sa narodilo 10 detí/. </w:t>
      </w:r>
    </w:p>
    <w:p w:rsidR="003438E1" w:rsidRDefault="003438E1" w:rsidP="003438E1">
      <w:pPr>
        <w:ind w:left="-5"/>
      </w:pPr>
      <w:r>
        <w:t xml:space="preserve">S týmto faktorom obec zaznamenáva zvýšený tlak na rozvoj bývania – či už na individuálnu výstavbu rodinných domov alebo možnosť vlastného bývania v obecných nájomných bytoch.  </w:t>
      </w:r>
    </w:p>
    <w:p w:rsidR="003438E1" w:rsidRDefault="003438E1" w:rsidP="003438E1">
      <w:pPr>
        <w:spacing w:after="0"/>
      </w:pPr>
      <w:r>
        <w:t xml:space="preserve">   </w:t>
      </w:r>
    </w:p>
    <w:p w:rsidR="003438E1" w:rsidRDefault="003438E1" w:rsidP="003438E1">
      <w:pPr>
        <w:spacing w:after="0"/>
      </w:pPr>
      <w:r>
        <w:t xml:space="preserve">  </w:t>
      </w:r>
      <w:r>
        <w:rPr>
          <w:color w:val="FF0000"/>
        </w:rPr>
        <w:t xml:space="preserve">  </w:t>
      </w:r>
    </w:p>
    <w:p w:rsidR="003438E1" w:rsidRDefault="003438E1" w:rsidP="003438E1">
      <w:pPr>
        <w:ind w:left="-5"/>
      </w:pPr>
      <w:r>
        <w:t xml:space="preserve">Podľa aktuálnej evidencie k 31.12.2015 má obec Dubové  721   trvalo bývajúcich obyvateľov. V štruktúre je pomer mužov a žien nasledovný: </w:t>
      </w:r>
    </w:p>
    <w:p w:rsidR="003438E1" w:rsidRDefault="003438E1" w:rsidP="003438E1">
      <w:pPr>
        <w:spacing w:after="0"/>
      </w:pPr>
      <w:r>
        <w:t xml:space="preserve"> </w:t>
      </w:r>
    </w:p>
    <w:tbl>
      <w:tblPr>
        <w:tblStyle w:val="TableGrid"/>
        <w:tblW w:w="7720" w:type="dxa"/>
        <w:tblInd w:w="-14" w:type="dxa"/>
        <w:tblCellMar>
          <w:top w:w="77" w:type="dxa"/>
          <w:left w:w="70" w:type="dxa"/>
          <w:right w:w="115" w:type="dxa"/>
        </w:tblCellMar>
        <w:tblLook w:val="04A0" w:firstRow="1" w:lastRow="0" w:firstColumn="1" w:lastColumn="0" w:noHBand="0" w:noVBand="1"/>
      </w:tblPr>
      <w:tblGrid>
        <w:gridCol w:w="3300"/>
        <w:gridCol w:w="2079"/>
        <w:gridCol w:w="2341"/>
      </w:tblGrid>
      <w:tr w:rsidR="003438E1" w:rsidTr="00E56919">
        <w:trPr>
          <w:trHeight w:val="310"/>
        </w:trPr>
        <w:tc>
          <w:tcPr>
            <w:tcW w:w="33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počet </w:t>
            </w:r>
          </w:p>
        </w:tc>
        <w:tc>
          <w:tcPr>
            <w:tcW w:w="234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pomer </w:t>
            </w:r>
          </w:p>
        </w:tc>
      </w:tr>
      <w:tr w:rsidR="003438E1" w:rsidTr="00E56919">
        <w:trPr>
          <w:trHeight w:val="310"/>
        </w:trPr>
        <w:tc>
          <w:tcPr>
            <w:tcW w:w="33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muži </w:t>
            </w:r>
          </w:p>
        </w:tc>
        <w:tc>
          <w:tcPr>
            <w:tcW w:w="2079"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355 </w:t>
            </w:r>
          </w:p>
        </w:tc>
        <w:tc>
          <w:tcPr>
            <w:tcW w:w="234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49,23  </w:t>
            </w:r>
          </w:p>
        </w:tc>
      </w:tr>
      <w:tr w:rsidR="003438E1" w:rsidTr="00E56919">
        <w:trPr>
          <w:trHeight w:val="312"/>
        </w:trPr>
        <w:tc>
          <w:tcPr>
            <w:tcW w:w="33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ženy </w:t>
            </w:r>
          </w:p>
        </w:tc>
        <w:tc>
          <w:tcPr>
            <w:tcW w:w="2079"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366 </w:t>
            </w:r>
          </w:p>
        </w:tc>
        <w:tc>
          <w:tcPr>
            <w:tcW w:w="234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50,76</w:t>
            </w:r>
          </w:p>
        </w:tc>
      </w:tr>
      <w:tr w:rsidR="003438E1" w:rsidTr="00E56919">
        <w:trPr>
          <w:trHeight w:val="310"/>
        </w:trPr>
        <w:tc>
          <w:tcPr>
            <w:tcW w:w="330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celkom </w:t>
            </w:r>
          </w:p>
        </w:tc>
        <w:tc>
          <w:tcPr>
            <w:tcW w:w="2079"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pPr>
            <w:r>
              <w:rPr>
                <w:rFonts w:ascii="Calibri" w:hAnsi="Calibri" w:cs="Calibri"/>
              </w:rPr>
              <w:t xml:space="preserve"> 721</w:t>
            </w:r>
          </w:p>
        </w:tc>
        <w:tc>
          <w:tcPr>
            <w:tcW w:w="2341" w:type="dxa"/>
            <w:tcBorders>
              <w:top w:val="single" w:sz="4" w:space="0" w:color="000000"/>
              <w:left w:val="single" w:sz="4" w:space="0" w:color="000000"/>
              <w:bottom w:val="single" w:sz="4" w:space="0" w:color="000000"/>
              <w:right w:val="single" w:sz="4" w:space="0" w:color="000000"/>
            </w:tcBorders>
          </w:tcPr>
          <w:p w:rsidR="003438E1" w:rsidRDefault="003438E1" w:rsidP="00E56919">
            <w:pPr>
              <w:spacing w:line="259" w:lineRule="auto"/>
              <w:ind w:left="2"/>
            </w:pPr>
            <w:r>
              <w:rPr>
                <w:rFonts w:ascii="Calibri" w:hAnsi="Calibri" w:cs="Calibri"/>
              </w:rPr>
              <w:t xml:space="preserve"> 100,00 </w:t>
            </w:r>
          </w:p>
        </w:tc>
      </w:tr>
    </w:tbl>
    <w:p w:rsidR="003438E1" w:rsidRDefault="003438E1" w:rsidP="003438E1">
      <w:pPr>
        <w:spacing w:after="0"/>
        <w:rPr>
          <w:sz w:val="20"/>
        </w:rPr>
      </w:pPr>
      <w:r>
        <w:rPr>
          <w:sz w:val="20"/>
        </w:rPr>
        <w:t xml:space="preserve"> </w:t>
      </w: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3438E1">
      <w:pPr>
        <w:spacing w:after="0"/>
        <w:rPr>
          <w:sz w:val="20"/>
        </w:rPr>
      </w:pPr>
    </w:p>
    <w:p w:rsidR="0056584F" w:rsidRDefault="0056584F" w:rsidP="0056584F">
      <w:pPr>
        <w:spacing w:after="4" w:line="249" w:lineRule="auto"/>
        <w:ind w:left="-5"/>
      </w:pPr>
      <w:r>
        <w:rPr>
          <w:sz w:val="20"/>
        </w:rPr>
        <w:lastRenderedPageBreak/>
        <w:t xml:space="preserve">Veková štruktúra obyvateľov k 31.12.2015 (podľa metodiky EÚ) </w:t>
      </w:r>
    </w:p>
    <w:tbl>
      <w:tblPr>
        <w:tblStyle w:val="TableGrid"/>
        <w:tblW w:w="7720" w:type="dxa"/>
        <w:tblInd w:w="-14" w:type="dxa"/>
        <w:tblCellMar>
          <w:top w:w="77" w:type="dxa"/>
          <w:left w:w="70" w:type="dxa"/>
          <w:right w:w="115" w:type="dxa"/>
        </w:tblCellMar>
        <w:tblLook w:val="04A0" w:firstRow="1" w:lastRow="0" w:firstColumn="1" w:lastColumn="0" w:noHBand="0" w:noVBand="1"/>
      </w:tblPr>
      <w:tblGrid>
        <w:gridCol w:w="3300"/>
        <w:gridCol w:w="2079"/>
        <w:gridCol w:w="2341"/>
      </w:tblGrid>
      <w:tr w:rsidR="0056584F" w:rsidTr="001E6CFE">
        <w:trPr>
          <w:trHeight w:val="312"/>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  </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počet </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rPr>
                <w:rFonts w:ascii="Calibri" w:hAnsi="Calibri" w:cs="Calibri"/>
              </w:rPr>
              <w:t xml:space="preserve">pomer </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predproduktívny vek (0-15)</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   93</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t>12,90</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rPr>
                <w:rFonts w:ascii="Calibri" w:hAnsi="Calibri" w:cs="Calibri"/>
              </w:rPr>
            </w:pPr>
            <w:r>
              <w:rPr>
                <w:rFonts w:ascii="Calibri" w:hAnsi="Calibri" w:cs="Calibri"/>
              </w:rPr>
              <w:t>produktívny vek ženy  (16-62)</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rPr>
                <w:rFonts w:ascii="Calibri" w:hAnsi="Calibri" w:cs="Calibri"/>
              </w:rPr>
            </w:pPr>
            <w:r>
              <w:rPr>
                <w:rFonts w:ascii="Calibri" w:hAnsi="Calibri" w:cs="Calibri"/>
              </w:rPr>
              <w:t>229</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ind w:left="2"/>
              <w:rPr>
                <w:rFonts w:ascii="Calibri" w:hAnsi="Calibri" w:cs="Calibri"/>
              </w:rPr>
            </w:pPr>
            <w:r>
              <w:rPr>
                <w:rFonts w:ascii="Calibri" w:hAnsi="Calibri" w:cs="Calibri"/>
              </w:rPr>
              <w:t>31,76</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rPr>
                <w:rFonts w:ascii="Calibri" w:hAnsi="Calibri" w:cs="Calibri"/>
              </w:rPr>
            </w:pPr>
            <w:r>
              <w:rPr>
                <w:rFonts w:ascii="Calibri" w:hAnsi="Calibri" w:cs="Calibri"/>
              </w:rPr>
              <w:t>produktívny vek muži  (16-62)</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rPr>
                <w:rFonts w:ascii="Calibri" w:hAnsi="Calibri" w:cs="Calibri"/>
              </w:rPr>
            </w:pPr>
            <w:r>
              <w:rPr>
                <w:rFonts w:ascii="Calibri" w:hAnsi="Calibri" w:cs="Calibri"/>
              </w:rPr>
              <w:t>249</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ind w:left="2"/>
              <w:rPr>
                <w:rFonts w:ascii="Calibri" w:hAnsi="Calibri" w:cs="Calibri"/>
              </w:rPr>
            </w:pPr>
            <w:r>
              <w:rPr>
                <w:rFonts w:ascii="Calibri" w:hAnsi="Calibri" w:cs="Calibri"/>
              </w:rPr>
              <w:t>34,54</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produktívny vek spolu (16-62)</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478 </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t>66,30</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poproduktívny vek spolu</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150 </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t>20,80</w:t>
            </w:r>
          </w:p>
        </w:tc>
      </w:tr>
      <w:tr w:rsidR="0056584F" w:rsidTr="001E6CFE">
        <w:trPr>
          <w:trHeight w:val="310"/>
        </w:trPr>
        <w:tc>
          <w:tcPr>
            <w:tcW w:w="33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celkom </w:t>
            </w:r>
          </w:p>
        </w:tc>
        <w:tc>
          <w:tcPr>
            <w:tcW w:w="207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721 </w:t>
            </w:r>
          </w:p>
        </w:tc>
        <w:tc>
          <w:tcPr>
            <w:tcW w:w="234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rPr>
                <w:rFonts w:ascii="Calibri" w:hAnsi="Calibri" w:cs="Calibri"/>
              </w:rPr>
              <w:t xml:space="preserve"> 100,00 </w:t>
            </w:r>
          </w:p>
        </w:tc>
      </w:tr>
    </w:tbl>
    <w:p w:rsidR="0056584F" w:rsidRDefault="0056584F" w:rsidP="0056584F">
      <w:pPr>
        <w:spacing w:after="0"/>
      </w:pPr>
      <w:r>
        <w:t xml:space="preserve"> </w:t>
      </w:r>
    </w:p>
    <w:p w:rsidR="0056584F" w:rsidRDefault="0056584F" w:rsidP="0056584F">
      <w:pPr>
        <w:spacing w:after="0"/>
      </w:pPr>
      <w:r>
        <w:t xml:space="preserve"> </w:t>
      </w:r>
      <w:r>
        <w:rPr>
          <w:rFonts w:ascii="Arial" w:hAnsi="Arial" w:cs="Arial"/>
          <w:color w:val="336600"/>
          <w:sz w:val="20"/>
          <w:szCs w:val="20"/>
        </w:rPr>
        <w:br/>
      </w:r>
    </w:p>
    <w:p w:rsidR="0056584F" w:rsidRDefault="0056584F" w:rsidP="0056584F">
      <w:pPr>
        <w:pStyle w:val="Nadpis2"/>
        <w:spacing w:after="3"/>
        <w:ind w:left="-5"/>
      </w:pPr>
      <w:r>
        <w:rPr>
          <w:rFonts w:ascii="Times New Roman" w:hAnsi="Times New Roman"/>
        </w:rPr>
        <w:t xml:space="preserve">Index starnutia = 161,29 % </w:t>
      </w:r>
    </w:p>
    <w:p w:rsidR="0056584F" w:rsidRDefault="0056584F" w:rsidP="0056584F">
      <w:pPr>
        <w:spacing w:after="20"/>
      </w:pPr>
      <w:r>
        <w:rPr>
          <w:sz w:val="20"/>
        </w:rPr>
        <w:t xml:space="preserve"> </w:t>
      </w:r>
    </w:p>
    <w:p w:rsidR="0056584F" w:rsidRDefault="0056584F" w:rsidP="0056584F">
      <w:pPr>
        <w:spacing w:after="4" w:line="269" w:lineRule="auto"/>
        <w:ind w:left="-5"/>
      </w:pPr>
      <w:r>
        <w:rPr>
          <w:i/>
          <w:sz w:val="20"/>
        </w:rPr>
        <w:t xml:space="preserve">Počet obyvateľov v poproduktívnom veku/počet obyvateľov v predproduktívnom veku x 100 </w:t>
      </w:r>
    </w:p>
    <w:p w:rsidR="0056584F" w:rsidRDefault="0056584F" w:rsidP="0056584F">
      <w:pPr>
        <w:spacing w:after="4" w:line="269" w:lineRule="auto"/>
        <w:ind w:left="-5"/>
      </w:pPr>
      <w:r>
        <w:rPr>
          <w:i/>
          <w:sz w:val="20"/>
        </w:rPr>
        <w:t xml:space="preserve">Predproduktívny vek 0-14 rokov </w:t>
      </w:r>
    </w:p>
    <w:p w:rsidR="0056584F" w:rsidRDefault="0056584F" w:rsidP="0056584F">
      <w:pPr>
        <w:spacing w:after="4" w:line="269" w:lineRule="auto"/>
        <w:ind w:left="-5" w:right="5529"/>
      </w:pPr>
      <w:r>
        <w:rPr>
          <w:i/>
          <w:sz w:val="20"/>
        </w:rPr>
        <w:t xml:space="preserve">Produktívny vek 15-64 rokov Poproduktívny vek ženy 65 + rokov </w:t>
      </w:r>
    </w:p>
    <w:p w:rsidR="0056584F" w:rsidRDefault="0056584F" w:rsidP="0056584F">
      <w:pPr>
        <w:spacing w:after="0"/>
      </w:pPr>
      <w:r>
        <w:t xml:space="preserve"> </w:t>
      </w:r>
    </w:p>
    <w:p w:rsidR="0056584F" w:rsidRDefault="0056584F" w:rsidP="0056584F">
      <w:pPr>
        <w:spacing w:after="22"/>
      </w:pPr>
      <w:r>
        <w:t xml:space="preserve"> </w:t>
      </w:r>
    </w:p>
    <w:p w:rsidR="0056584F" w:rsidRDefault="0056584F" w:rsidP="0056584F">
      <w:pPr>
        <w:pStyle w:val="Nadpis3"/>
        <w:ind w:left="-5"/>
      </w:pPr>
      <w:r>
        <w:t xml:space="preserve">Demografická prognóza </w:t>
      </w:r>
    </w:p>
    <w:p w:rsidR="0056584F" w:rsidRDefault="0056584F" w:rsidP="0056584F">
      <w:pPr>
        <w:ind w:left="-5"/>
      </w:pPr>
      <w:r>
        <w:t>Demografický vývoj v priebehu nasledovných 10 rokov predpokladá</w:t>
      </w:r>
      <w:r>
        <w:rPr>
          <w:color w:val="FF0000"/>
        </w:rPr>
        <w:t xml:space="preserve"> </w:t>
      </w:r>
      <w:r>
        <w:t xml:space="preserve">zásadnú zmenu v počte obyvateľov obce Dubové  - realizáciou individuálnej bytovej výstavby a výstavby nájomných bytových domov očakávame  výrazný prírastok obyvateľov.  V budúcom období bude dôležité posilňovať migráciu smerom do obce  a stabilizovať súčasné obyvateľstvo, hlavne mladé rodiny. </w:t>
      </w:r>
    </w:p>
    <w:p w:rsidR="0056584F" w:rsidRDefault="0056584F" w:rsidP="0056584F">
      <w:pPr>
        <w:spacing w:after="23"/>
      </w:pPr>
      <w:r>
        <w:t xml:space="preserve"> </w:t>
      </w:r>
    </w:p>
    <w:p w:rsidR="0056584F" w:rsidRDefault="0056584F" w:rsidP="0056584F">
      <w:pPr>
        <w:ind w:left="-5" w:right="133"/>
      </w:pPr>
      <w:r>
        <w:t xml:space="preserve">Rozvojom podmienok bývania by mohlo postupne dôjsť k zlepšeniu demografického profilu obce a zabezpečeniu stabilnej základne pre rast počtu obyvateľov prirodzenou cestou. </w:t>
      </w:r>
    </w:p>
    <w:p w:rsidR="0056584F" w:rsidRDefault="0056584F" w:rsidP="0056584F">
      <w:pPr>
        <w:spacing w:after="20"/>
      </w:pPr>
      <w:r>
        <w:rPr>
          <w:rFonts w:ascii="Arial" w:hAnsi="Arial" w:cs="Arial"/>
          <w:b/>
        </w:rPr>
        <w:t xml:space="preserve"> </w:t>
      </w:r>
    </w:p>
    <w:p w:rsidR="0056584F" w:rsidRDefault="0056584F" w:rsidP="0056584F">
      <w:pPr>
        <w:ind w:left="-5"/>
      </w:pPr>
      <w:r>
        <w:rPr>
          <w:rFonts w:ascii="Arial" w:hAnsi="Arial" w:cs="Arial"/>
          <w:b/>
        </w:rPr>
        <w:t xml:space="preserve">C. Ekonomické podmienky rozvoja bývania </w:t>
      </w:r>
    </w:p>
    <w:p w:rsidR="0056584F" w:rsidRDefault="0056584F" w:rsidP="0056584F">
      <w:pPr>
        <w:spacing w:after="22"/>
      </w:pPr>
      <w:r>
        <w:t xml:space="preserve"> </w:t>
      </w:r>
    </w:p>
    <w:p w:rsidR="0056584F" w:rsidRDefault="0056584F" w:rsidP="0056584F">
      <w:pPr>
        <w:pStyle w:val="Nadpis3"/>
        <w:ind w:left="-5"/>
      </w:pPr>
      <w:r>
        <w:t xml:space="preserve">Index ekonomického zaťaženia </w:t>
      </w:r>
    </w:p>
    <w:p w:rsidR="0056584F" w:rsidRDefault="0056584F" w:rsidP="0056584F">
      <w:pPr>
        <w:spacing w:after="20"/>
      </w:pPr>
      <w:r>
        <w:rPr>
          <w:sz w:val="20"/>
        </w:rPr>
        <w:t xml:space="preserve"> </w:t>
      </w:r>
    </w:p>
    <w:p w:rsidR="0056584F" w:rsidRDefault="0056584F" w:rsidP="0056584F">
      <w:pPr>
        <w:spacing w:after="4" w:line="249" w:lineRule="auto"/>
        <w:ind w:left="-5"/>
      </w:pPr>
      <w:r>
        <w:rPr>
          <w:sz w:val="20"/>
        </w:rPr>
        <w:t xml:space="preserve">Obyvateľstvo predproduktívneho veku + obyvateľstvo poproduktívneho veku/obyvateľstvo v produktívnom veku x 100 </w:t>
      </w:r>
    </w:p>
    <w:p w:rsidR="0056584F" w:rsidRDefault="0056584F" w:rsidP="0056584F">
      <w:pPr>
        <w:spacing w:after="64"/>
      </w:pPr>
      <w:r>
        <w:rPr>
          <w:sz w:val="20"/>
        </w:rPr>
        <w:t xml:space="preserve"> </w:t>
      </w:r>
    </w:p>
    <w:p w:rsidR="0056584F" w:rsidRDefault="0056584F" w:rsidP="0056584F">
      <w:pPr>
        <w:ind w:left="-5"/>
      </w:pPr>
      <w:r>
        <w:t xml:space="preserve">Zmeny vo vekovom zložení obyvateľstva sa odrážajú aj vo výške indexu ekonomického zaťaženia, ktorý vyjadruje, akou mierou je v populácii zaťažená produktívna zložka obyvateľstva neproduktívnou zložkou.  </w:t>
      </w:r>
    </w:p>
    <w:p w:rsidR="0056584F" w:rsidRDefault="0056584F" w:rsidP="0056584F">
      <w:pPr>
        <w:spacing w:after="17"/>
      </w:pPr>
      <w:r>
        <w:t xml:space="preserve"> </w:t>
      </w:r>
    </w:p>
    <w:p w:rsidR="0056584F" w:rsidRDefault="0056584F" w:rsidP="0056584F">
      <w:pPr>
        <w:ind w:left="-5"/>
      </w:pPr>
      <w:r>
        <w:rPr>
          <w:b/>
        </w:rPr>
        <w:t xml:space="preserve">Index ekonomického zaťaženia dosahuje v obci Dubové  hodnotu 39,54 </w:t>
      </w:r>
      <w:r>
        <w:t xml:space="preserve"> t.j. na 100 obyvateľov v produktívnom veku pripadá 39,54 neproduktívnych osôb. </w:t>
      </w:r>
    </w:p>
    <w:p w:rsidR="0056584F" w:rsidRDefault="0056584F" w:rsidP="0056584F">
      <w:pPr>
        <w:spacing w:after="23"/>
      </w:pPr>
      <w:r>
        <w:t xml:space="preserve"> </w:t>
      </w:r>
    </w:p>
    <w:p w:rsidR="0056584F" w:rsidRDefault="0056584F" w:rsidP="0056584F">
      <w:pPr>
        <w:ind w:left="-5"/>
      </w:pPr>
      <w:r>
        <w:lastRenderedPageBreak/>
        <w:t xml:space="preserve">Zmeny vo vekovom zložení obyvateľstva a jeho starnutie sa prejavujú v rámci celej Slovenskej republiky – index ekonomického zaťaženia k 31.12.2015 mal hodnotu 38,01 a podobný je vývoj i v Žilinskom samosprávnom kraji – index ekonomického zaťaženia dosahoval k 31.12.2015 hodnotu 38,38. </w:t>
      </w:r>
    </w:p>
    <w:p w:rsidR="0056584F" w:rsidRDefault="0056584F" w:rsidP="0056584F">
      <w:pPr>
        <w:spacing w:after="22"/>
      </w:pPr>
      <w:r>
        <w:t xml:space="preserve"> </w:t>
      </w:r>
    </w:p>
    <w:p w:rsidR="0056584F" w:rsidRDefault="0056584F" w:rsidP="0056584F">
      <w:pPr>
        <w:pStyle w:val="Nadpis3"/>
        <w:ind w:left="-5"/>
      </w:pPr>
      <w:r>
        <w:t xml:space="preserve">Nezamestnanosť obyvateľstva </w:t>
      </w:r>
    </w:p>
    <w:p w:rsidR="0056584F" w:rsidRDefault="0056584F" w:rsidP="0056584F">
      <w:pPr>
        <w:ind w:left="-5"/>
      </w:pPr>
      <w:r>
        <w:t xml:space="preserve">Dopady hospodárskej krízy na reálnu ekonomiku vedú k spomaleniu ekonomického rastu, napriek tomu v obci Dubové nedochádza k výraznému  zvyšovaniu nezamestnanosti.  Jedným z hlavných dôvodov sú možnosti zamestnania sa priamo okresnom meste Turčianske Teplice vzdialenom len 5 km.  </w:t>
      </w:r>
    </w:p>
    <w:p w:rsidR="0056584F" w:rsidRDefault="0056584F" w:rsidP="0056584F">
      <w:pPr>
        <w:spacing w:after="0"/>
      </w:pPr>
      <w:r>
        <w:t xml:space="preserve"> </w:t>
      </w:r>
    </w:p>
    <w:p w:rsidR="0056584F" w:rsidRPr="00BF2EB0" w:rsidRDefault="0056584F" w:rsidP="0056584F">
      <w:pPr>
        <w:ind w:left="-5"/>
      </w:pPr>
      <w:r w:rsidRPr="00BF2EB0">
        <w:t xml:space="preserve">V roku 2015 bolo v obci  priemerne  343 ekonomicky aktívnych obyvateľov. </w:t>
      </w:r>
    </w:p>
    <w:p w:rsidR="0056584F" w:rsidRPr="00BF2EB0" w:rsidRDefault="0056584F" w:rsidP="0056584F">
      <w:pPr>
        <w:spacing w:after="0" w:line="260" w:lineRule="auto"/>
        <w:ind w:right="33"/>
        <w:jc w:val="both"/>
      </w:pPr>
      <w:r w:rsidRPr="00BF2EB0">
        <w:t>Vykázaná miera evidovanej nezamestnanosti za okres Turčianske Teplice predstavuje 7,38 % (júl 2016).</w:t>
      </w:r>
    </w:p>
    <w:p w:rsidR="0056584F" w:rsidRPr="00BF2EB0" w:rsidRDefault="0056584F" w:rsidP="0056584F">
      <w:pPr>
        <w:spacing w:after="22"/>
      </w:pPr>
      <w:r w:rsidRPr="00BF2EB0">
        <w:rPr>
          <w:color w:val="FF0000"/>
        </w:rPr>
        <w:t xml:space="preserve"> </w:t>
      </w:r>
    </w:p>
    <w:p w:rsidR="0056584F" w:rsidRPr="00BF2EB0" w:rsidRDefault="0056584F" w:rsidP="0056584F">
      <w:pPr>
        <w:spacing w:after="43"/>
        <w:ind w:left="-5" w:right="1072"/>
      </w:pPr>
      <w:r w:rsidRPr="00BF2EB0">
        <w:t>Z hľadiska tvorby pracovných príležitostí sú v obci Dubové a okolí dôležité firmy v oblasti kúpeľníctva, potravinárstva, pôdohospodárstva, lesníctva, cestovného ruchu, gastronómie, ubytovacích  a stravovacích služieb  Najväčším zamestnávateľom v tejto oblasti sú Slovenské liečebné kúpele, a.s., Turčianske Teplice a Pramene a žriedla Budiš.</w:t>
      </w:r>
    </w:p>
    <w:p w:rsidR="0056584F" w:rsidRPr="00BF2EB0" w:rsidRDefault="0056584F" w:rsidP="0056584F">
      <w:pPr>
        <w:ind w:left="-5"/>
      </w:pPr>
      <w:r w:rsidRPr="00BF2EB0">
        <w:t>V obci majú sídla a prevádzky živnostníci a menšie firmy.</w:t>
      </w:r>
    </w:p>
    <w:p w:rsidR="0056584F" w:rsidRDefault="0056584F" w:rsidP="0056584F">
      <w:pPr>
        <w:ind w:left="-5"/>
      </w:pPr>
      <w:r w:rsidRPr="00E22ADB">
        <w:t>Vývoj pracovných príležitostí a tým aj príjmov obyvateľstva závisí od dosahu ekonomickej krízy na jednotlivé podniky v okrese i v samotnej obci. Zároveň je dôležitým faktorom celková návštevnosť obce a sezónnosť /letná aj zimná turistická sezóna/</w:t>
      </w:r>
      <w:r>
        <w:t xml:space="preserve"> </w:t>
      </w:r>
    </w:p>
    <w:p w:rsidR="0056584F" w:rsidRDefault="0056584F" w:rsidP="0056584F">
      <w:pPr>
        <w:spacing w:after="23"/>
      </w:pPr>
      <w:r>
        <w:t xml:space="preserve"> </w:t>
      </w:r>
    </w:p>
    <w:p w:rsidR="0056584F" w:rsidRDefault="0056584F" w:rsidP="0056584F">
      <w:pPr>
        <w:pStyle w:val="Nadpis3"/>
        <w:ind w:left="-5"/>
      </w:pPr>
      <w:r>
        <w:t xml:space="preserve">Zhodnotenie možností a finančnej účasti obyvateľstva pri obstarávaní bývania </w:t>
      </w:r>
    </w:p>
    <w:p w:rsidR="0056584F" w:rsidRDefault="0056584F" w:rsidP="0056584F">
      <w:pPr>
        <w:spacing w:after="23"/>
      </w:pPr>
      <w:r>
        <w:t xml:space="preserve"> </w:t>
      </w:r>
    </w:p>
    <w:p w:rsidR="0056584F" w:rsidRDefault="0056584F" w:rsidP="0056584F">
      <w:pPr>
        <w:ind w:left="-5"/>
      </w:pPr>
      <w:r>
        <w:t xml:space="preserve">Dôstojné bývanie je základnou životnou potrebou, ale zároveň nákladnou záležitosťou, ktorá často presahuje možnosti obyvateľov. Ekonomicky silnejšia časť obyvateľstva má možnosť individuálnej bytovej výstavby rodinných domov. Obec Dubové  má snahu vytvárať podmienky najmä pre bývanie príjmovo a sociálne slabších vrstiev obyvateľstva a zvyšovať dostupnosť hlavne nájomného bývania. </w:t>
      </w:r>
    </w:p>
    <w:p w:rsidR="0056584F" w:rsidRDefault="0056584F" w:rsidP="0056584F">
      <w:pPr>
        <w:spacing w:after="8"/>
      </w:pPr>
      <w:r>
        <w:t xml:space="preserve"> </w:t>
      </w:r>
    </w:p>
    <w:p w:rsidR="0056584F" w:rsidRDefault="0056584F" w:rsidP="0056584F">
      <w:pPr>
        <w:pStyle w:val="Nadpis4"/>
        <w:spacing w:after="5"/>
        <w:ind w:left="-5"/>
      </w:pPr>
      <w:r>
        <w:rPr>
          <w:rFonts w:ascii="Arial" w:hAnsi="Arial" w:cs="Arial"/>
        </w:rPr>
        <w:t xml:space="preserve">D. Bilancovanie potrieb rozvoja bývania </w:t>
      </w:r>
    </w:p>
    <w:p w:rsidR="0056584F" w:rsidRDefault="0056584F" w:rsidP="0056584F">
      <w:pPr>
        <w:ind w:left="-5" w:right="161"/>
      </w:pPr>
      <w:r>
        <w:t xml:space="preserve">Neuspokojený dopyt obyvateľov po bytoch vyplýva zo zmien v štruktúre domácností, z nových nárokov na bývanie mladých, príjmovo samostatných jedincov ako aj z rastu poproduktívnej kategórie obyvateľov, kde sa dá aj z ekonomických dôvodov očakávať dopyt po menších bytoch než sú tie, v ktorých žili ako rodiny s deťmi.  </w:t>
      </w:r>
    </w:p>
    <w:p w:rsidR="0056584F" w:rsidRDefault="0056584F" w:rsidP="0056584F">
      <w:pPr>
        <w:spacing w:after="0"/>
      </w:pPr>
      <w:r>
        <w:t xml:space="preserve"> </w:t>
      </w:r>
    </w:p>
    <w:p w:rsidR="0056584F" w:rsidRDefault="0056584F" w:rsidP="0056584F">
      <w:pPr>
        <w:spacing w:after="23"/>
      </w:pPr>
      <w:r>
        <w:t xml:space="preserve"> </w:t>
      </w:r>
    </w:p>
    <w:p w:rsidR="0056584F" w:rsidRDefault="0056584F" w:rsidP="0056584F">
      <w:pPr>
        <w:ind w:left="-5"/>
      </w:pPr>
      <w:r>
        <w:t xml:space="preserve">Základom odhadu neuspokojeného dopytu je spolužitie cenzových domácností, štruktúra cenzových domácností podľa počtu členov a žiadosti na pridelenie bytu. </w:t>
      </w:r>
    </w:p>
    <w:p w:rsidR="0056584F" w:rsidRDefault="0056584F" w:rsidP="0056584F">
      <w:pPr>
        <w:spacing w:after="23"/>
      </w:pPr>
      <w:r>
        <w:t xml:space="preserve"> </w:t>
      </w:r>
    </w:p>
    <w:p w:rsidR="0056584F" w:rsidRDefault="0056584F" w:rsidP="0056584F">
      <w:pPr>
        <w:ind w:left="-5"/>
      </w:pPr>
      <w:r>
        <w:lastRenderedPageBreak/>
        <w:t xml:space="preserve">Úroveň bývania nie je priamo podmienená len novou výstavbou, ale významne ju ovplyvňuje aj existujúci bytový fond. Bytový fond je v súkromnom vlastníctve a rodinné domy a byty postupne prechádzajú individuálnou rekonštrukciou vlastníkmi. Revitalizácia existujúceho bytového fondu smeruje k skvalitneniu bývania, predovšetkým k znižovaniu nákladov na energie, ktoré v súčasnosti tvoria hlavnú časť nákladov na bývanie. </w:t>
      </w:r>
    </w:p>
    <w:p w:rsidR="0056584F" w:rsidRDefault="0056584F" w:rsidP="0056584F">
      <w:pPr>
        <w:spacing w:after="22"/>
      </w:pPr>
      <w:r>
        <w:t xml:space="preserve"> </w:t>
      </w:r>
    </w:p>
    <w:p w:rsidR="0056584F" w:rsidRDefault="0056584F" w:rsidP="0056584F">
      <w:pPr>
        <w:pStyle w:val="Nadpis3"/>
        <w:ind w:left="-5"/>
      </w:pPr>
      <w:r>
        <w:t xml:space="preserve">Vyčíslenie potreby bytov v 5, resp. 10-ročnom výhľade </w:t>
      </w:r>
    </w:p>
    <w:p w:rsidR="0056584F" w:rsidRDefault="0056584F" w:rsidP="0056584F">
      <w:pPr>
        <w:spacing w:after="0"/>
      </w:pPr>
      <w:r>
        <w:t xml:space="preserve"> </w:t>
      </w:r>
    </w:p>
    <w:p w:rsidR="0056584F" w:rsidRDefault="0056584F" w:rsidP="0056584F">
      <w:pPr>
        <w:ind w:left="-5"/>
      </w:pPr>
      <w:r>
        <w:t xml:space="preserve">Obec Dubové  bude evidovať a aktualizovať žiadosti o pridelenie bytu pred podaním žiadostí na štátny fond rozvoja bývania, resp. pred začatím výstavby. </w:t>
      </w:r>
    </w:p>
    <w:p w:rsidR="0056584F" w:rsidRDefault="0056584F" w:rsidP="0056584F">
      <w:pPr>
        <w:spacing w:after="22"/>
      </w:pPr>
      <w:r>
        <w:t xml:space="preserve"> </w:t>
      </w:r>
    </w:p>
    <w:p w:rsidR="0056584F" w:rsidRDefault="0056584F" w:rsidP="0056584F">
      <w:pPr>
        <w:ind w:left="-5"/>
      </w:pPr>
      <w:r>
        <w:t xml:space="preserve">Potreba bytov podľa evidovaných žiadostí o byt bude v nasledovnej štruktúre: </w:t>
      </w:r>
    </w:p>
    <w:p w:rsidR="0056584F" w:rsidRDefault="0056584F" w:rsidP="0056584F">
      <w:pPr>
        <w:spacing w:after="0"/>
      </w:pPr>
      <w:r>
        <w:t xml:space="preserve"> </w:t>
      </w:r>
    </w:p>
    <w:tbl>
      <w:tblPr>
        <w:tblStyle w:val="TableGrid"/>
        <w:tblW w:w="3260" w:type="dxa"/>
        <w:tblInd w:w="-14" w:type="dxa"/>
        <w:tblCellMar>
          <w:top w:w="77" w:type="dxa"/>
          <w:left w:w="70" w:type="dxa"/>
          <w:right w:w="115" w:type="dxa"/>
        </w:tblCellMar>
        <w:tblLook w:val="04A0" w:firstRow="1" w:lastRow="0" w:firstColumn="1" w:lastColumn="0" w:noHBand="0" w:noVBand="1"/>
      </w:tblPr>
      <w:tblGrid>
        <w:gridCol w:w="1759"/>
        <w:gridCol w:w="1501"/>
      </w:tblGrid>
      <w:tr w:rsidR="0056584F" w:rsidTr="001E6CFE">
        <w:trPr>
          <w:trHeight w:val="310"/>
        </w:trPr>
        <w:tc>
          <w:tcPr>
            <w:tcW w:w="175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b/>
              </w:rPr>
              <w:t xml:space="preserve">Nájomné byty </w:t>
            </w:r>
          </w:p>
        </w:tc>
        <w:tc>
          <w:tcPr>
            <w:tcW w:w="15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r>
              <w:rPr>
                <w:rFonts w:ascii="Calibri" w:hAnsi="Calibri" w:cs="Calibri"/>
                <w:b/>
              </w:rPr>
              <w:t xml:space="preserve">počet </w:t>
            </w:r>
          </w:p>
        </w:tc>
      </w:tr>
      <w:tr w:rsidR="0056584F" w:rsidTr="001E6CFE">
        <w:trPr>
          <w:trHeight w:val="310"/>
        </w:trPr>
        <w:tc>
          <w:tcPr>
            <w:tcW w:w="175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1 -izbové </w:t>
            </w:r>
          </w:p>
        </w:tc>
        <w:tc>
          <w:tcPr>
            <w:tcW w:w="15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p>
        </w:tc>
      </w:tr>
      <w:tr w:rsidR="0056584F" w:rsidTr="001E6CFE">
        <w:trPr>
          <w:trHeight w:val="312"/>
        </w:trPr>
        <w:tc>
          <w:tcPr>
            <w:tcW w:w="175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2 - izbové </w:t>
            </w:r>
          </w:p>
        </w:tc>
        <w:tc>
          <w:tcPr>
            <w:tcW w:w="15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p>
        </w:tc>
      </w:tr>
      <w:tr w:rsidR="0056584F" w:rsidTr="001E6CFE">
        <w:trPr>
          <w:trHeight w:val="310"/>
        </w:trPr>
        <w:tc>
          <w:tcPr>
            <w:tcW w:w="175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3 -izbové </w:t>
            </w:r>
          </w:p>
        </w:tc>
        <w:tc>
          <w:tcPr>
            <w:tcW w:w="15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p>
        </w:tc>
      </w:tr>
      <w:tr w:rsidR="0056584F" w:rsidTr="001E6CFE">
        <w:trPr>
          <w:trHeight w:val="310"/>
        </w:trPr>
        <w:tc>
          <w:tcPr>
            <w:tcW w:w="1759"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pPr>
            <w:r>
              <w:rPr>
                <w:rFonts w:ascii="Calibri" w:hAnsi="Calibri" w:cs="Calibri"/>
              </w:rPr>
              <w:t xml:space="preserve">SPOLU </w:t>
            </w:r>
          </w:p>
        </w:tc>
        <w:tc>
          <w:tcPr>
            <w:tcW w:w="1501" w:type="dxa"/>
            <w:tcBorders>
              <w:top w:val="single" w:sz="4" w:space="0" w:color="000000"/>
              <w:left w:val="single" w:sz="4" w:space="0" w:color="000000"/>
              <w:bottom w:val="single" w:sz="4" w:space="0" w:color="000000"/>
              <w:right w:val="single" w:sz="4" w:space="0" w:color="000000"/>
            </w:tcBorders>
          </w:tcPr>
          <w:p w:rsidR="0056584F" w:rsidRDefault="0056584F" w:rsidP="001E6CFE">
            <w:pPr>
              <w:spacing w:line="259" w:lineRule="auto"/>
              <w:ind w:left="2"/>
            </w:pPr>
          </w:p>
        </w:tc>
      </w:tr>
    </w:tbl>
    <w:p w:rsidR="0056584F" w:rsidRDefault="0056584F" w:rsidP="0056584F">
      <w:pPr>
        <w:spacing w:after="0"/>
      </w:pPr>
      <w:r>
        <w:t xml:space="preserve"> </w:t>
      </w:r>
    </w:p>
    <w:p w:rsidR="0056584F" w:rsidRDefault="0056584F" w:rsidP="0056584F">
      <w:pPr>
        <w:spacing w:after="23"/>
      </w:pPr>
      <w:r>
        <w:t xml:space="preserve"> </w:t>
      </w:r>
    </w:p>
    <w:p w:rsidR="0056584F" w:rsidRDefault="0056584F" w:rsidP="0056584F">
      <w:pPr>
        <w:ind w:left="-5"/>
      </w:pPr>
      <w:r>
        <w:t xml:space="preserve">Predpokladáme, že väčšinu žiadostí o pridelenie bytu si podajú mladé rodiny, ktoré by uprednostnili bývanie v nájomných bytoch pred výstavbou rodinného domu. </w:t>
      </w:r>
    </w:p>
    <w:p w:rsidR="0056584F" w:rsidRDefault="0056584F" w:rsidP="0056584F">
      <w:pPr>
        <w:spacing w:after="23"/>
      </w:pPr>
      <w:r>
        <w:t xml:space="preserve"> </w:t>
      </w:r>
    </w:p>
    <w:p w:rsidR="0056584F" w:rsidRDefault="0056584F" w:rsidP="0056584F">
      <w:pPr>
        <w:ind w:left="-5"/>
      </w:pPr>
      <w:r>
        <w:t xml:space="preserve">Žiadosti si záujemcovia o byty budú môcť podávať priebežne a je predpoklad, že ich počet sa bude zvyšovať. Potreba bývania bude prevyšovať možnosti novej bytovej výstavby, čo nepriaznivo vplýva na prirodzenú reprodukciu populácie a obmedzuje mobilitu obyvateľstva.  </w:t>
      </w:r>
    </w:p>
    <w:p w:rsidR="0056584F" w:rsidRDefault="0056584F" w:rsidP="0056584F">
      <w:pPr>
        <w:spacing w:after="15"/>
      </w:pPr>
      <w:r>
        <w:t xml:space="preserve"> </w:t>
      </w:r>
    </w:p>
    <w:p w:rsidR="0056584F" w:rsidRDefault="0056584F" w:rsidP="0056584F">
      <w:pPr>
        <w:ind w:left="-5"/>
      </w:pPr>
      <w:r>
        <w:t xml:space="preserve">Rozvoj bytovej výstavby je výrazne ovplyvňovaný výkonnosťou ekonomiky, disponibilnými zdrojmi vo verejnom a súkromnom sektore, dostupnosťou a cenami bytov. </w:t>
      </w:r>
    </w:p>
    <w:p w:rsidR="0056584F" w:rsidRDefault="0056584F" w:rsidP="0056584F">
      <w:pPr>
        <w:spacing w:after="22"/>
      </w:pPr>
      <w:r>
        <w:t xml:space="preserve"> </w:t>
      </w:r>
    </w:p>
    <w:p w:rsidR="0056584F" w:rsidRPr="00540097" w:rsidRDefault="0056584F" w:rsidP="0056584F">
      <w:pPr>
        <w:ind w:left="-5"/>
        <w:rPr>
          <w:b/>
          <w:u w:val="single"/>
        </w:rPr>
      </w:pPr>
      <w:r w:rsidRPr="00540097">
        <w:rPr>
          <w:b/>
          <w:u w:val="single"/>
        </w:rPr>
        <w:t>Očakávaný rozvoj  bytového fondu v 5 ročnom a 10 ročnom výhľade</w:t>
      </w:r>
      <w:r>
        <w:rPr>
          <w:b/>
          <w:u w:val="single"/>
        </w:rPr>
        <w:t>:</w:t>
      </w:r>
      <w:r w:rsidRPr="00540097">
        <w:rPr>
          <w:b/>
          <w:u w:val="single"/>
        </w:rPr>
        <w:t xml:space="preserve"> </w:t>
      </w:r>
    </w:p>
    <w:p w:rsidR="0056584F" w:rsidRDefault="0056584F" w:rsidP="0056584F">
      <w:pPr>
        <w:spacing w:after="18"/>
      </w:pPr>
      <w:r>
        <w:t xml:space="preserve"> </w:t>
      </w:r>
    </w:p>
    <w:p w:rsidR="0056584F" w:rsidRDefault="0056584F" w:rsidP="0056584F">
      <w:pPr>
        <w:ind w:left="-5"/>
      </w:pPr>
      <w:r>
        <w:t xml:space="preserve">Rozvoj  bytového fondu by sa mal zabezpečiť: </w:t>
      </w:r>
    </w:p>
    <w:p w:rsidR="0056584F" w:rsidRDefault="0056584F" w:rsidP="0056584F">
      <w:pPr>
        <w:numPr>
          <w:ilvl w:val="0"/>
          <w:numId w:val="5"/>
        </w:numPr>
        <w:spacing w:after="5" w:line="270" w:lineRule="auto"/>
        <w:ind w:right="1143" w:hanging="139"/>
      </w:pPr>
      <w:r>
        <w:t xml:space="preserve">výstavbou viacpodlažných bytových domov s nájomnými bytmi pre mladé rodiny na ich osamostatnenie ale i pre starších obyvateľov, </w:t>
      </w:r>
    </w:p>
    <w:p w:rsidR="0056584F" w:rsidRDefault="0056584F" w:rsidP="0056584F">
      <w:pPr>
        <w:numPr>
          <w:ilvl w:val="0"/>
          <w:numId w:val="5"/>
        </w:numPr>
        <w:spacing w:after="5" w:line="270" w:lineRule="auto"/>
        <w:ind w:right="1143" w:hanging="139"/>
      </w:pPr>
      <w:r>
        <w:t xml:space="preserve">výstavbou viacpodlažného polyfunkčného bytového domu s komerčnými bytmi, </w:t>
      </w:r>
    </w:p>
    <w:p w:rsidR="0056584F" w:rsidRDefault="0056584F" w:rsidP="0056584F">
      <w:pPr>
        <w:numPr>
          <w:ilvl w:val="0"/>
          <w:numId w:val="5"/>
        </w:numPr>
        <w:spacing w:after="5" w:line="270" w:lineRule="auto"/>
        <w:ind w:right="1143" w:hanging="139"/>
      </w:pPr>
      <w:r>
        <w:t>výstavbou nových rodinných domov</w:t>
      </w:r>
    </w:p>
    <w:p w:rsidR="0056584F" w:rsidRDefault="0056584F" w:rsidP="0056584F">
      <w:pPr>
        <w:numPr>
          <w:ilvl w:val="0"/>
          <w:numId w:val="5"/>
        </w:numPr>
        <w:spacing w:after="5" w:line="270" w:lineRule="auto"/>
        <w:ind w:right="1143" w:hanging="139"/>
      </w:pPr>
      <w:r>
        <w:t>obnovou starších neobývaných rodinných domov formou ich prestavby - výstavbou nových rodinných domov</w:t>
      </w:r>
    </w:p>
    <w:p w:rsidR="0056584F" w:rsidRDefault="0056584F" w:rsidP="0056584F">
      <w:pPr>
        <w:numPr>
          <w:ilvl w:val="0"/>
          <w:numId w:val="5"/>
        </w:numPr>
        <w:spacing w:after="5" w:line="270" w:lineRule="auto"/>
        <w:ind w:right="1143" w:hanging="139"/>
      </w:pPr>
      <w:r>
        <w:t>rekonštrukciou budov vo vlastníctve obce.</w:t>
      </w:r>
    </w:p>
    <w:p w:rsidR="0056584F" w:rsidRDefault="0056584F" w:rsidP="0056584F">
      <w:pPr>
        <w:ind w:left="-5" w:right="8954"/>
      </w:pPr>
      <w:r>
        <w:lastRenderedPageBreak/>
        <w:t xml:space="preserve">  . </w:t>
      </w:r>
    </w:p>
    <w:p w:rsidR="0056584F" w:rsidRDefault="0056584F" w:rsidP="0056584F">
      <w:pPr>
        <w:pStyle w:val="Nadpis3"/>
        <w:spacing w:after="5" w:line="270" w:lineRule="auto"/>
        <w:ind w:left="-5"/>
      </w:pPr>
      <w:r>
        <w:rPr>
          <w:rFonts w:ascii="Arial" w:hAnsi="Arial" w:cs="Arial"/>
          <w:b/>
        </w:rPr>
        <w:t xml:space="preserve">E. Zhodnotenie možností územia pre rozvojové zámery </w:t>
      </w:r>
    </w:p>
    <w:p w:rsidR="0056584F" w:rsidRDefault="0056584F" w:rsidP="0056584F">
      <w:pPr>
        <w:spacing w:after="0"/>
      </w:pPr>
      <w:r>
        <w:t xml:space="preserve"> </w:t>
      </w:r>
    </w:p>
    <w:p w:rsidR="0056584F" w:rsidRDefault="0056584F" w:rsidP="0056584F">
      <w:pPr>
        <w:pStyle w:val="Nadpis4"/>
        <w:ind w:left="-5"/>
      </w:pPr>
      <w:r>
        <w:rPr>
          <w:b/>
          <w:u w:val="single" w:color="000000"/>
        </w:rPr>
        <w:t>Faktory rozvoja obce Dubové</w:t>
      </w:r>
    </w:p>
    <w:p w:rsidR="0056584F" w:rsidRDefault="0056584F" w:rsidP="0056584F">
      <w:pPr>
        <w:spacing w:after="18"/>
      </w:pPr>
      <w:r>
        <w:t xml:space="preserve">  </w:t>
      </w:r>
    </w:p>
    <w:p w:rsidR="0056584F" w:rsidRDefault="0056584F" w:rsidP="0056584F">
      <w:pPr>
        <w:ind w:left="-5"/>
      </w:pPr>
      <w:r>
        <w:t xml:space="preserve">Obec Dubové  plní v sídelnej štruktúre funkciu obce  regionálneho významu, </w:t>
      </w:r>
    </w:p>
    <w:p w:rsidR="0056584F" w:rsidRDefault="0056584F" w:rsidP="0056584F">
      <w:pPr>
        <w:ind w:left="-5"/>
      </w:pPr>
      <w:r>
        <w:t xml:space="preserve">Obec Dubové  je obcou s výrazným napojením na kúpeľné mesto Turčianske Teplice, s ktorým má katastrálnu hranicu a dobrú dopravnú dostupnosť, </w:t>
      </w:r>
    </w:p>
    <w:p w:rsidR="0056584F" w:rsidRDefault="0056584F" w:rsidP="0056584F">
      <w:pPr>
        <w:ind w:left="-5" w:right="1088"/>
      </w:pPr>
      <w:r>
        <w:t>Sídelné, ekonomické, dopravné a rekreačné väzby predurčujú Dubové  za obec  s výrazným  sústredením obyvateľstva, ekonomických aktivít v tejto časti okresu Turčianske Teplice, keď je satelitným centrom pre kúpeľné mesto.</w:t>
      </w:r>
    </w:p>
    <w:p w:rsidR="0056584F" w:rsidRDefault="0056584F" w:rsidP="0056584F">
      <w:pPr>
        <w:ind w:left="-5" w:right="250"/>
      </w:pPr>
      <w:r>
        <w:t xml:space="preserve">Obec o má možnosti pre rozvoj turizmu so zameraním na celoročný pobyt pri  neďalekej geotermálnej vode  a  pobytový poznávací turizmus. </w:t>
      </w:r>
    </w:p>
    <w:p w:rsidR="0056584F" w:rsidRDefault="0056584F" w:rsidP="0056584F">
      <w:pPr>
        <w:spacing w:after="19"/>
      </w:pPr>
      <w:r>
        <w:t xml:space="preserve"> </w:t>
      </w:r>
    </w:p>
    <w:p w:rsidR="0056584F" w:rsidRDefault="0056584F" w:rsidP="0056584F">
      <w:pPr>
        <w:ind w:left="-5"/>
      </w:pPr>
      <w:r>
        <w:t xml:space="preserve">Obec Dubové  má  reálne územnotechnické rozvojové predpoklady v troch hlavných smeroch: </w:t>
      </w:r>
    </w:p>
    <w:p w:rsidR="0056584F" w:rsidRDefault="0056584F" w:rsidP="0056584F">
      <w:pPr>
        <w:spacing w:after="21"/>
      </w:pPr>
      <w:r>
        <w:t xml:space="preserve"> </w:t>
      </w:r>
    </w:p>
    <w:p w:rsidR="0056584F" w:rsidRDefault="0056584F" w:rsidP="0056584F">
      <w:pPr>
        <w:numPr>
          <w:ilvl w:val="0"/>
          <w:numId w:val="6"/>
        </w:numPr>
        <w:spacing w:after="5" w:line="270" w:lineRule="auto"/>
        <w:ind w:hanging="360"/>
      </w:pPr>
      <w:r>
        <w:t>dobudovanie a rekonštrukcia zastavaného územia obce – pôvodná časť obce  Dubové</w:t>
      </w:r>
    </w:p>
    <w:p w:rsidR="0056584F" w:rsidRDefault="0056584F" w:rsidP="0056584F">
      <w:pPr>
        <w:numPr>
          <w:ilvl w:val="0"/>
          <w:numId w:val="6"/>
        </w:numPr>
        <w:spacing w:after="5" w:line="270" w:lineRule="auto"/>
        <w:ind w:hanging="360"/>
      </w:pPr>
      <w:r>
        <w:t>dobudovanie zastavaného územia obce – nová časť obce Dubové</w:t>
      </w:r>
    </w:p>
    <w:p w:rsidR="0056584F" w:rsidRDefault="0056584F" w:rsidP="0056584F">
      <w:pPr>
        <w:numPr>
          <w:ilvl w:val="0"/>
          <w:numId w:val="6"/>
        </w:numPr>
        <w:spacing w:after="22" w:line="270" w:lineRule="auto"/>
        <w:ind w:hanging="360"/>
      </w:pPr>
      <w:r>
        <w:t>realizovanie rozvoja obce, najmä funkčnej obytnej zóny a rekreačnej zóny v novej časti Požehy</w:t>
      </w:r>
    </w:p>
    <w:p w:rsidR="0056584F" w:rsidRDefault="0056584F" w:rsidP="0056584F">
      <w:pPr>
        <w:spacing w:after="22" w:line="270" w:lineRule="auto"/>
        <w:ind w:left="720"/>
      </w:pPr>
    </w:p>
    <w:p w:rsidR="0056584F" w:rsidRDefault="0056584F" w:rsidP="0056584F">
      <w:pPr>
        <w:spacing w:after="22" w:line="270" w:lineRule="auto"/>
        <w:ind w:left="720"/>
      </w:pPr>
      <w:r>
        <w:t>Z hľadiska súčasného funkčného a priestorového využitia zástavby, prírodných podmienok a potenciálnych možností pre ďalší rozvoj územný plán rozčleňuje obec na nasledovné zóny (miestne časti) :</w:t>
      </w:r>
    </w:p>
    <w:p w:rsidR="0056584F" w:rsidRDefault="0056584F" w:rsidP="0056584F">
      <w:pPr>
        <w:pStyle w:val="Odsekzoznamu"/>
        <w:numPr>
          <w:ilvl w:val="0"/>
          <w:numId w:val="10"/>
        </w:numPr>
        <w:spacing w:after="22" w:line="270" w:lineRule="auto"/>
      </w:pPr>
      <w:r>
        <w:t>Zóna A – miestna časť Dubové – hlavná časť</w:t>
      </w:r>
    </w:p>
    <w:p w:rsidR="0056584F" w:rsidRDefault="0056584F" w:rsidP="0056584F">
      <w:pPr>
        <w:spacing w:after="22" w:line="270" w:lineRule="auto"/>
        <w:ind w:left="720"/>
      </w:pPr>
      <w:r>
        <w:t>Územie reprezentuje pôvodné najstaršie, najviac zastavané územie na ľavom brehu rieky Turiec so zástavbou po oboch stranách jej prítoku Besná voda.</w:t>
      </w:r>
    </w:p>
    <w:p w:rsidR="0056584F" w:rsidRDefault="0056584F" w:rsidP="0056584F">
      <w:pPr>
        <w:pStyle w:val="Odsekzoznamu"/>
        <w:numPr>
          <w:ilvl w:val="0"/>
          <w:numId w:val="10"/>
        </w:numPr>
        <w:spacing w:after="22" w:line="270" w:lineRule="auto"/>
      </w:pPr>
      <w:r>
        <w:t>Zóna B – miestna časť Dubové – nová časť (Záturčie)</w:t>
      </w:r>
    </w:p>
    <w:p w:rsidR="0056584F" w:rsidRDefault="0056584F" w:rsidP="0056584F">
      <w:pPr>
        <w:spacing w:after="22" w:line="270" w:lineRule="auto"/>
        <w:ind w:left="720"/>
      </w:pPr>
      <w:r>
        <w:t>Územie reprezentuje nová výstavba, hlavne obytná z druhej polovice 20. storočia, na pravom brehu rieky Turiec. V tejto miestnej časti sa nachádza aj HBV.</w:t>
      </w:r>
    </w:p>
    <w:p w:rsidR="0056584F" w:rsidRDefault="0056584F" w:rsidP="0056584F">
      <w:pPr>
        <w:pStyle w:val="Odsekzoznamu"/>
        <w:numPr>
          <w:ilvl w:val="0"/>
          <w:numId w:val="10"/>
        </w:numPr>
        <w:spacing w:after="22" w:line="270" w:lineRule="auto"/>
      </w:pPr>
      <w:r>
        <w:t>Zóna C – areál PD</w:t>
      </w:r>
    </w:p>
    <w:p w:rsidR="0056584F" w:rsidRDefault="0056584F" w:rsidP="0056584F">
      <w:pPr>
        <w:spacing w:after="22" w:line="270" w:lineRule="auto"/>
        <w:ind w:left="720"/>
      </w:pPr>
      <w:r>
        <w:t>Územie v prevažnej miere reprezentuje výstavba v areáli PD Dubové so zameraním na živočíšnu a rastlinnú výrobu. Okrem tejto rozhodujúcej plochy sa v tejto miestnej časti nachádza aj menšie územie s IBV.</w:t>
      </w:r>
    </w:p>
    <w:p w:rsidR="0056584F" w:rsidRDefault="0056584F" w:rsidP="0056584F">
      <w:pPr>
        <w:pStyle w:val="Odsekzoznamu"/>
        <w:numPr>
          <w:ilvl w:val="0"/>
          <w:numId w:val="9"/>
        </w:numPr>
        <w:spacing w:after="22" w:line="270" w:lineRule="auto"/>
      </w:pPr>
      <w:r>
        <w:t>Zóna D – miestna časť Požehy</w:t>
      </w:r>
    </w:p>
    <w:p w:rsidR="0056584F" w:rsidRDefault="0056584F" w:rsidP="0056584F">
      <w:pPr>
        <w:spacing w:after="22" w:line="270" w:lineRule="auto"/>
        <w:ind w:left="720"/>
      </w:pPr>
      <w:r>
        <w:t>Územie reprezentuje funkčne zmiešaná zóna s rybníkmi a rybným hospodárstvom, drevovýrobou a malou obytnou časťou .</w:t>
      </w:r>
    </w:p>
    <w:p w:rsidR="0056584F" w:rsidRDefault="0056584F" w:rsidP="0056584F">
      <w:pPr>
        <w:pStyle w:val="Odsekzoznamu"/>
        <w:numPr>
          <w:ilvl w:val="0"/>
          <w:numId w:val="8"/>
        </w:numPr>
        <w:spacing w:after="22" w:line="270" w:lineRule="auto"/>
      </w:pPr>
      <w:r>
        <w:t>Zóna E – miestna časť Haľaksince a Kukovské (rekreačné územia)</w:t>
      </w:r>
    </w:p>
    <w:p w:rsidR="0056584F" w:rsidRDefault="0056584F" w:rsidP="0056584F">
      <w:pPr>
        <w:spacing w:after="22" w:line="270" w:lineRule="auto"/>
        <w:ind w:left="720"/>
      </w:pPr>
      <w:r>
        <w:t>V rámci lesa v pohorí Žiar sú umiestnené dve malé zóny s rekreačnými chatami.</w:t>
      </w:r>
    </w:p>
    <w:p w:rsidR="0056584F" w:rsidRDefault="0056584F" w:rsidP="0056584F">
      <w:pPr>
        <w:pStyle w:val="Odsekzoznamu"/>
        <w:numPr>
          <w:ilvl w:val="0"/>
          <w:numId w:val="7"/>
        </w:numPr>
        <w:spacing w:after="22" w:line="270" w:lineRule="auto"/>
      </w:pPr>
      <w:r>
        <w:t>Zóna F- miestna časť Zverín (rekreačné územie)</w:t>
      </w:r>
    </w:p>
    <w:p w:rsidR="0056584F" w:rsidRDefault="0056584F" w:rsidP="0056584F">
      <w:pPr>
        <w:spacing w:after="22" w:line="270" w:lineRule="auto"/>
        <w:ind w:left="720"/>
      </w:pPr>
      <w:r>
        <w:t>Malá zóna v rámci nezalesnenej plochy</w:t>
      </w:r>
    </w:p>
    <w:p w:rsidR="0056584F" w:rsidRDefault="0056584F" w:rsidP="0056584F">
      <w:pPr>
        <w:pStyle w:val="Odsekzoznamu"/>
        <w:numPr>
          <w:ilvl w:val="0"/>
          <w:numId w:val="7"/>
        </w:numPr>
        <w:spacing w:after="22" w:line="270" w:lineRule="auto"/>
      </w:pPr>
      <w:r>
        <w:lastRenderedPageBreak/>
        <w:t>Zóna G- miestna časť Pod Vŕškom (menšie územie na IBV)</w:t>
      </w:r>
    </w:p>
    <w:p w:rsidR="0056584F" w:rsidRDefault="0056584F" w:rsidP="0056584F">
      <w:pPr>
        <w:spacing w:after="22" w:line="270" w:lineRule="auto"/>
        <w:ind w:left="720"/>
      </w:pPr>
    </w:p>
    <w:p w:rsidR="0056584F" w:rsidRDefault="0056584F" w:rsidP="0056584F">
      <w:pPr>
        <w:spacing w:after="22" w:line="270" w:lineRule="auto"/>
        <w:ind w:left="720"/>
      </w:pPr>
    </w:p>
    <w:p w:rsidR="0056584F" w:rsidRDefault="0056584F" w:rsidP="0056584F">
      <w:pPr>
        <w:spacing w:after="0"/>
      </w:pPr>
    </w:p>
    <w:p w:rsidR="0056584F" w:rsidRDefault="0056584F" w:rsidP="0056584F">
      <w:pPr>
        <w:ind w:left="-5" w:right="85"/>
      </w:pPr>
      <w:r>
        <w:t xml:space="preserve">Pozemky vhodné na výstavbu rodinných domov ako aj nájomných bytových domov sú v súkromnom vlastníctve. Obec pozemkami vhodnými na výstavbu v súčasnosti nedisponuje. </w:t>
      </w:r>
    </w:p>
    <w:p w:rsidR="0056584F" w:rsidRDefault="0056584F" w:rsidP="0056584F">
      <w:pPr>
        <w:ind w:left="-5" w:right="85"/>
      </w:pPr>
    </w:p>
    <w:p w:rsidR="0056584F" w:rsidRPr="00CE614A" w:rsidRDefault="0056584F" w:rsidP="0056584F">
      <w:pPr>
        <w:rPr>
          <w:rFonts w:cs="Arial"/>
          <w:b/>
        </w:rPr>
      </w:pPr>
      <w:r w:rsidRPr="00CE614A">
        <w:rPr>
          <w:rFonts w:cs="Arial"/>
          <w:b/>
        </w:rPr>
        <w:t xml:space="preserve">Údaje o pôde a rozlohe obce Dubové </w:t>
      </w:r>
      <w:r>
        <w:rPr>
          <w:rFonts w:cs="Arial"/>
          <w:b/>
        </w:rPr>
        <w:t>k 31.12.2015</w:t>
      </w:r>
      <w:r w:rsidRPr="00CE614A">
        <w:rPr>
          <w:rFonts w:cs="Arial"/>
          <w:b/>
        </w:rPr>
        <w:t xml:space="preserve"> </w:t>
      </w:r>
    </w:p>
    <w:p w:rsidR="0056584F" w:rsidRPr="00CE614A" w:rsidRDefault="0056584F" w:rsidP="0056584F">
      <w:pPr>
        <w:rPr>
          <w:rFonts w:cs="Arial"/>
        </w:rPr>
      </w:pPr>
    </w:p>
    <w:tbl>
      <w:tblPr>
        <w:tblStyle w:val="Mriekatabuky"/>
        <w:tblW w:w="0" w:type="auto"/>
        <w:tblLook w:val="04A0" w:firstRow="1" w:lastRow="0" w:firstColumn="1" w:lastColumn="0" w:noHBand="0" w:noVBand="1"/>
      </w:tblPr>
      <w:tblGrid>
        <w:gridCol w:w="4546"/>
        <w:gridCol w:w="4516"/>
      </w:tblGrid>
      <w:tr w:rsidR="0056584F" w:rsidRPr="00CE614A" w:rsidTr="001E6CFE">
        <w:tc>
          <w:tcPr>
            <w:tcW w:w="4606" w:type="dxa"/>
          </w:tcPr>
          <w:p w:rsidR="0056584F" w:rsidRPr="00CE614A" w:rsidRDefault="0056584F" w:rsidP="001E6CFE">
            <w:pPr>
              <w:spacing w:line="360" w:lineRule="auto"/>
              <w:rPr>
                <w:rFonts w:cs="Arial"/>
                <w:b/>
              </w:rPr>
            </w:pPr>
            <w:r w:rsidRPr="00CE614A">
              <w:rPr>
                <w:rFonts w:cs="Arial"/>
                <w:b/>
              </w:rPr>
              <w:t xml:space="preserve">celková výmera obce:  </w:t>
            </w:r>
          </w:p>
        </w:tc>
        <w:tc>
          <w:tcPr>
            <w:tcW w:w="4606" w:type="dxa"/>
          </w:tcPr>
          <w:p w:rsidR="0056584F" w:rsidRPr="00CE614A" w:rsidRDefault="0056584F" w:rsidP="001E6CFE">
            <w:pPr>
              <w:spacing w:line="360" w:lineRule="auto"/>
              <w:rPr>
                <w:rFonts w:cs="Arial"/>
              </w:rPr>
            </w:pPr>
            <w:r w:rsidRPr="00CE614A">
              <w:rPr>
                <w:rStyle w:val="Vrazn"/>
                <w:rFonts w:eastAsiaTheme="majorEastAsia" w:cs="Arial"/>
                <w:color w:val="333333"/>
              </w:rPr>
              <w:t>28,29 km2</w:t>
            </w:r>
            <w:r w:rsidRPr="00CE614A">
              <w:rPr>
                <w:rFonts w:cs="Arial"/>
                <w:color w:val="333333"/>
              </w:rPr>
              <w:t xml:space="preserve"> - </w:t>
            </w:r>
            <w:r w:rsidRPr="00CE614A">
              <w:rPr>
                <w:rStyle w:val="Vrazn"/>
                <w:rFonts w:eastAsiaTheme="majorEastAsia" w:cs="Arial"/>
                <w:color w:val="333333"/>
              </w:rPr>
              <w:t>2829 ha</w:t>
            </w:r>
          </w:p>
        </w:tc>
      </w:tr>
      <w:tr w:rsidR="0056584F" w:rsidRPr="00CE614A" w:rsidTr="001E6CFE">
        <w:trPr>
          <w:trHeight w:val="69"/>
        </w:trPr>
        <w:tc>
          <w:tcPr>
            <w:tcW w:w="4606" w:type="dxa"/>
          </w:tcPr>
          <w:p w:rsidR="0056584F" w:rsidRPr="00CE614A" w:rsidRDefault="0056584F" w:rsidP="001E6CFE">
            <w:pPr>
              <w:spacing w:line="360" w:lineRule="auto"/>
              <w:rPr>
                <w:rFonts w:cs="Arial"/>
                <w:b/>
              </w:rPr>
            </w:pPr>
            <w:r w:rsidRPr="00CE614A">
              <w:rPr>
                <w:rFonts w:cs="Arial"/>
                <w:b/>
                <w:color w:val="333333"/>
              </w:rPr>
              <w:t xml:space="preserve">poľnohospodárská pôda spolu: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9,95 km2</w:t>
            </w:r>
            <w:r w:rsidRPr="00CE614A">
              <w:rPr>
                <w:rFonts w:cs="Arial"/>
                <w:b/>
                <w:color w:val="333333"/>
              </w:rPr>
              <w:t xml:space="preserve"> </w:t>
            </w:r>
            <w:r w:rsidRPr="00CE614A">
              <w:rPr>
                <w:rStyle w:val="Vrazn"/>
                <w:rFonts w:eastAsiaTheme="majorEastAsia" w:cs="Arial"/>
                <w:color w:val="333333"/>
              </w:rPr>
              <w:t>995 ha</w:t>
            </w:r>
            <w:r w:rsidRPr="00CE614A">
              <w:rPr>
                <w:rFonts w:cs="Arial"/>
                <w:b/>
                <w:color w:val="333333"/>
              </w:rPr>
              <w:t xml:space="preserve"> - </w:t>
            </w:r>
            <w:r w:rsidRPr="00CE614A">
              <w:rPr>
                <w:rStyle w:val="blue"/>
                <w:rFonts w:cs="Arial"/>
                <w:b/>
                <w:color w:val="333333"/>
              </w:rPr>
              <w:t>35%</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Z toho</w:t>
            </w:r>
          </w:p>
        </w:tc>
        <w:tc>
          <w:tcPr>
            <w:tcW w:w="4606" w:type="dxa"/>
          </w:tcPr>
          <w:p w:rsidR="0056584F" w:rsidRPr="00CE614A" w:rsidRDefault="0056584F" w:rsidP="001E6CFE">
            <w:pPr>
              <w:spacing w:line="360" w:lineRule="auto"/>
              <w:rPr>
                <w:rFonts w:cs="Arial"/>
              </w:rPr>
            </w:pP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orná pôda: </w:t>
            </w:r>
          </w:p>
        </w:tc>
        <w:tc>
          <w:tcPr>
            <w:tcW w:w="4606" w:type="dxa"/>
          </w:tcPr>
          <w:p w:rsidR="0056584F" w:rsidRPr="00CE614A" w:rsidRDefault="0056584F" w:rsidP="001E6CFE">
            <w:pPr>
              <w:spacing w:line="360" w:lineRule="auto"/>
              <w:rPr>
                <w:rFonts w:cs="Arial"/>
              </w:rPr>
            </w:pPr>
            <w:r w:rsidRPr="00CE614A">
              <w:rPr>
                <w:rStyle w:val="Vrazn"/>
                <w:rFonts w:eastAsiaTheme="majorEastAsia" w:cs="Arial"/>
                <w:color w:val="333333"/>
              </w:rPr>
              <w:t>5,21 km2</w:t>
            </w:r>
            <w:r w:rsidRPr="00CE614A">
              <w:rPr>
                <w:rFonts w:cs="Arial"/>
                <w:b/>
                <w:color w:val="333333"/>
              </w:rPr>
              <w:t xml:space="preserve"> - </w:t>
            </w:r>
            <w:r w:rsidRPr="00CE614A">
              <w:rPr>
                <w:rStyle w:val="Vrazn"/>
                <w:rFonts w:eastAsiaTheme="majorEastAsia" w:cs="Arial"/>
                <w:color w:val="333333"/>
              </w:rPr>
              <w:t>521 ha</w:t>
            </w:r>
            <w:r w:rsidRPr="00CE614A">
              <w:rPr>
                <w:rFonts w:cs="Arial"/>
                <w:color w:val="333333"/>
              </w:rPr>
              <w:t xml:space="preserve"> - </w:t>
            </w:r>
            <w:r w:rsidRPr="00CE614A">
              <w:rPr>
                <w:rStyle w:val="blue"/>
                <w:rFonts w:cs="Arial"/>
                <w:color w:val="333333"/>
              </w:rPr>
              <w:t>52,34%</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chmelnice: </w:t>
            </w:r>
          </w:p>
        </w:tc>
        <w:tc>
          <w:tcPr>
            <w:tcW w:w="4606" w:type="dxa"/>
          </w:tcPr>
          <w:p w:rsidR="0056584F" w:rsidRPr="00CE614A" w:rsidRDefault="0056584F" w:rsidP="001E6CFE">
            <w:pPr>
              <w:spacing w:line="360" w:lineRule="auto"/>
              <w:rPr>
                <w:rFonts w:cs="Arial"/>
              </w:rPr>
            </w:pPr>
            <w:r w:rsidRPr="00CE614A">
              <w:rPr>
                <w:rFonts w:cs="Arial"/>
              </w:rPr>
              <w:t>0 m2</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vinice: </w:t>
            </w:r>
          </w:p>
        </w:tc>
        <w:tc>
          <w:tcPr>
            <w:tcW w:w="4606" w:type="dxa"/>
          </w:tcPr>
          <w:p w:rsidR="0056584F" w:rsidRPr="00CE614A" w:rsidRDefault="0056584F" w:rsidP="001E6CFE">
            <w:pPr>
              <w:spacing w:line="360" w:lineRule="auto"/>
              <w:rPr>
                <w:rFonts w:cs="Arial"/>
              </w:rPr>
            </w:pPr>
            <w:r w:rsidRPr="00CE614A">
              <w:rPr>
                <w:rFonts w:cs="Arial"/>
              </w:rPr>
              <w:t>0 m2</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záhrady: </w:t>
            </w:r>
          </w:p>
        </w:tc>
        <w:tc>
          <w:tcPr>
            <w:tcW w:w="4606" w:type="dxa"/>
          </w:tcPr>
          <w:p w:rsidR="0056584F" w:rsidRPr="00CE614A" w:rsidRDefault="0056584F" w:rsidP="001E6CFE">
            <w:pPr>
              <w:spacing w:line="360" w:lineRule="auto"/>
              <w:rPr>
                <w:rFonts w:cs="Arial"/>
              </w:rPr>
            </w:pPr>
            <w:r w:rsidRPr="00CE614A">
              <w:rPr>
                <w:rStyle w:val="Vrazn"/>
                <w:rFonts w:eastAsiaTheme="majorEastAsia" w:cs="Arial"/>
                <w:color w:val="333333"/>
              </w:rPr>
              <w:t xml:space="preserve">0,16 km2 </w:t>
            </w:r>
            <w:r w:rsidRPr="00CE614A">
              <w:rPr>
                <w:rFonts w:cs="Arial"/>
                <w:b/>
                <w:color w:val="333333"/>
              </w:rPr>
              <w:t xml:space="preserve">- </w:t>
            </w:r>
            <w:r w:rsidRPr="00CE614A">
              <w:rPr>
                <w:rStyle w:val="Vrazn"/>
                <w:rFonts w:eastAsiaTheme="majorEastAsia" w:cs="Arial"/>
                <w:color w:val="333333"/>
              </w:rPr>
              <w:t xml:space="preserve">16 ha </w:t>
            </w:r>
            <w:r w:rsidRPr="00CE614A">
              <w:rPr>
                <w:rFonts w:cs="Arial"/>
                <w:color w:val="333333"/>
              </w:rPr>
              <w:t xml:space="preserve">- </w:t>
            </w:r>
            <w:r w:rsidRPr="00CE614A">
              <w:rPr>
                <w:rStyle w:val="blue"/>
                <w:rFonts w:cs="Arial"/>
                <w:color w:val="333333"/>
              </w:rPr>
              <w:t>1,64%</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ovocné sady: </w:t>
            </w:r>
          </w:p>
        </w:tc>
        <w:tc>
          <w:tcPr>
            <w:tcW w:w="4606" w:type="dxa"/>
          </w:tcPr>
          <w:p w:rsidR="0056584F" w:rsidRPr="00CE614A" w:rsidRDefault="0056584F" w:rsidP="001E6CFE">
            <w:pPr>
              <w:spacing w:line="360" w:lineRule="auto"/>
              <w:rPr>
                <w:rFonts w:cs="Arial"/>
              </w:rPr>
            </w:pPr>
            <w:r w:rsidRPr="00CE614A">
              <w:rPr>
                <w:rFonts w:cs="Arial"/>
              </w:rPr>
              <w:t>0 m2</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trvalé trávnaté porasty: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4,58 km2 </w:t>
            </w:r>
            <w:r w:rsidRPr="00CE614A">
              <w:rPr>
                <w:rFonts w:cs="Arial"/>
                <w:b/>
                <w:color w:val="333333"/>
              </w:rPr>
              <w:t xml:space="preserve">- </w:t>
            </w:r>
            <w:r w:rsidRPr="00CE614A">
              <w:rPr>
                <w:rStyle w:val="Vrazn"/>
                <w:rFonts w:eastAsiaTheme="majorEastAsia" w:cs="Arial"/>
                <w:color w:val="333333"/>
              </w:rPr>
              <w:t xml:space="preserve">458 ha </w:t>
            </w:r>
            <w:r w:rsidRPr="00CE614A">
              <w:rPr>
                <w:rFonts w:cs="Arial"/>
                <w:color w:val="333333"/>
              </w:rPr>
              <w:t xml:space="preserve">- </w:t>
            </w:r>
            <w:r w:rsidRPr="00CE614A">
              <w:rPr>
                <w:rStyle w:val="blue"/>
                <w:rFonts w:cs="Arial"/>
                <w:color w:val="333333"/>
              </w:rPr>
              <w:t>46,02%</w:t>
            </w:r>
          </w:p>
        </w:tc>
      </w:tr>
      <w:tr w:rsidR="0056584F" w:rsidRPr="00CE614A" w:rsidTr="001E6CFE">
        <w:trPr>
          <w:trHeight w:val="69"/>
        </w:trPr>
        <w:tc>
          <w:tcPr>
            <w:tcW w:w="4606" w:type="dxa"/>
          </w:tcPr>
          <w:p w:rsidR="0056584F" w:rsidRPr="00CE614A" w:rsidRDefault="0056584F" w:rsidP="001E6CFE">
            <w:pPr>
              <w:spacing w:line="360" w:lineRule="auto"/>
              <w:rPr>
                <w:rFonts w:cs="Arial"/>
                <w:b/>
              </w:rPr>
            </w:pPr>
            <w:r w:rsidRPr="00CE614A">
              <w:rPr>
                <w:rFonts w:cs="Arial"/>
                <w:b/>
                <w:color w:val="333333"/>
              </w:rPr>
              <w:t>Pôda nepoľnohospodárská spolu:</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18,35 km2 </w:t>
            </w:r>
            <w:r w:rsidRPr="00CE614A">
              <w:rPr>
                <w:rFonts w:cs="Arial"/>
                <w:b/>
                <w:color w:val="333333"/>
              </w:rPr>
              <w:t xml:space="preserve">- </w:t>
            </w:r>
            <w:r w:rsidRPr="00CE614A">
              <w:rPr>
                <w:rStyle w:val="Vrazn"/>
                <w:rFonts w:eastAsiaTheme="majorEastAsia" w:cs="Arial"/>
                <w:color w:val="333333"/>
              </w:rPr>
              <w:t xml:space="preserve">1835 ha </w:t>
            </w:r>
            <w:r w:rsidRPr="00CE614A">
              <w:rPr>
                <w:rFonts w:cs="Arial"/>
                <w:b/>
                <w:color w:val="333333"/>
              </w:rPr>
              <w:t xml:space="preserve">- </w:t>
            </w:r>
            <w:r w:rsidRPr="00CE614A">
              <w:rPr>
                <w:rStyle w:val="blue"/>
                <w:rFonts w:cs="Arial"/>
                <w:b/>
                <w:color w:val="333333"/>
              </w:rPr>
              <w:t>65%</w:t>
            </w:r>
          </w:p>
        </w:tc>
      </w:tr>
      <w:tr w:rsidR="0056584F" w:rsidRPr="00CE614A" w:rsidTr="001E6CFE">
        <w:trPr>
          <w:trHeight w:val="69"/>
        </w:trPr>
        <w:tc>
          <w:tcPr>
            <w:tcW w:w="4606" w:type="dxa"/>
          </w:tcPr>
          <w:p w:rsidR="0056584F" w:rsidRPr="00CE614A" w:rsidRDefault="0056584F" w:rsidP="001E6CFE">
            <w:pPr>
              <w:spacing w:line="360" w:lineRule="auto"/>
              <w:rPr>
                <w:rFonts w:cs="Arial"/>
                <w:color w:val="333333"/>
              </w:rPr>
            </w:pPr>
            <w:r w:rsidRPr="00CE614A">
              <w:rPr>
                <w:rFonts w:cs="Arial"/>
                <w:color w:val="333333"/>
              </w:rPr>
              <w:t>Z toho:</w:t>
            </w:r>
          </w:p>
        </w:tc>
        <w:tc>
          <w:tcPr>
            <w:tcW w:w="4606" w:type="dxa"/>
          </w:tcPr>
          <w:p w:rsidR="0056584F" w:rsidRPr="00CE614A" w:rsidRDefault="0056584F" w:rsidP="001E6CFE">
            <w:pPr>
              <w:spacing w:line="360" w:lineRule="auto"/>
              <w:rPr>
                <w:rFonts w:cs="Arial"/>
              </w:rPr>
            </w:pP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lesné pozemky: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17,19 km2 </w:t>
            </w:r>
            <w:r w:rsidRPr="00CE614A">
              <w:rPr>
                <w:rFonts w:cs="Arial"/>
                <w:b/>
                <w:color w:val="333333"/>
              </w:rPr>
              <w:t xml:space="preserve">- </w:t>
            </w:r>
            <w:r w:rsidRPr="00CE614A">
              <w:rPr>
                <w:rStyle w:val="Vrazn"/>
                <w:rFonts w:eastAsiaTheme="majorEastAsia" w:cs="Arial"/>
                <w:color w:val="333333"/>
              </w:rPr>
              <w:t xml:space="preserve">1719 ha </w:t>
            </w:r>
            <w:r w:rsidRPr="00CE614A">
              <w:rPr>
                <w:rFonts w:cs="Arial"/>
                <w:color w:val="333333"/>
              </w:rPr>
              <w:t xml:space="preserve">- </w:t>
            </w:r>
            <w:r w:rsidRPr="00CE614A">
              <w:rPr>
                <w:rStyle w:val="blue"/>
                <w:rFonts w:cs="Arial"/>
                <w:color w:val="333333"/>
              </w:rPr>
              <w:t>93,70%</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vodné plochy: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0,31 km2 </w:t>
            </w:r>
            <w:r w:rsidRPr="00CE614A">
              <w:rPr>
                <w:rFonts w:cs="Arial"/>
                <w:b/>
                <w:color w:val="333333"/>
              </w:rPr>
              <w:t xml:space="preserve">- </w:t>
            </w:r>
            <w:r w:rsidRPr="00CE614A">
              <w:rPr>
                <w:rStyle w:val="Vrazn"/>
                <w:rFonts w:eastAsiaTheme="majorEastAsia" w:cs="Arial"/>
                <w:color w:val="333333"/>
              </w:rPr>
              <w:t xml:space="preserve">31 ha </w:t>
            </w:r>
            <w:r w:rsidRPr="00CE614A">
              <w:rPr>
                <w:rFonts w:cs="Arial"/>
                <w:color w:val="333333"/>
              </w:rPr>
              <w:t xml:space="preserve">- </w:t>
            </w:r>
            <w:r w:rsidRPr="00CE614A">
              <w:rPr>
                <w:rStyle w:val="blue"/>
                <w:rFonts w:cs="Arial"/>
                <w:color w:val="333333"/>
              </w:rPr>
              <w:t>1,70%</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zastavané dvory a nádvoria: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0,62 km2 </w:t>
            </w:r>
            <w:r w:rsidRPr="00CE614A">
              <w:rPr>
                <w:rFonts w:cs="Arial"/>
                <w:b/>
                <w:color w:val="333333"/>
              </w:rPr>
              <w:t xml:space="preserve">- </w:t>
            </w:r>
            <w:r w:rsidRPr="00CE614A">
              <w:rPr>
                <w:rStyle w:val="Vrazn"/>
                <w:rFonts w:eastAsiaTheme="majorEastAsia" w:cs="Arial"/>
                <w:color w:val="333333"/>
              </w:rPr>
              <w:t xml:space="preserve">62 ha </w:t>
            </w:r>
            <w:r w:rsidRPr="00CE614A">
              <w:rPr>
                <w:rFonts w:cs="Arial"/>
                <w:color w:val="333333"/>
              </w:rPr>
              <w:t xml:space="preserve">- </w:t>
            </w:r>
            <w:r w:rsidRPr="00CE614A">
              <w:rPr>
                <w:rStyle w:val="blue"/>
                <w:rFonts w:cs="Arial"/>
                <w:color w:val="333333"/>
              </w:rPr>
              <w:t>3,38%</w:t>
            </w:r>
          </w:p>
        </w:tc>
      </w:tr>
      <w:tr w:rsidR="0056584F" w:rsidRPr="00CE614A" w:rsidTr="001E6CFE">
        <w:trPr>
          <w:trHeight w:val="69"/>
        </w:trPr>
        <w:tc>
          <w:tcPr>
            <w:tcW w:w="4606" w:type="dxa"/>
          </w:tcPr>
          <w:p w:rsidR="0056584F" w:rsidRPr="00CE614A" w:rsidRDefault="0056584F" w:rsidP="001E6CFE">
            <w:pPr>
              <w:spacing w:line="360" w:lineRule="auto"/>
              <w:rPr>
                <w:rFonts w:cs="Arial"/>
              </w:rPr>
            </w:pPr>
            <w:r w:rsidRPr="00CE614A">
              <w:rPr>
                <w:rFonts w:cs="Arial"/>
              </w:rPr>
              <w:t xml:space="preserve">ostatné plochy: </w:t>
            </w:r>
          </w:p>
        </w:tc>
        <w:tc>
          <w:tcPr>
            <w:tcW w:w="4606" w:type="dxa"/>
          </w:tcPr>
          <w:p w:rsidR="0056584F" w:rsidRPr="00CE614A" w:rsidRDefault="0056584F" w:rsidP="001E6CFE">
            <w:pPr>
              <w:spacing w:line="360" w:lineRule="auto"/>
              <w:rPr>
                <w:rFonts w:cs="Arial"/>
                <w:b/>
              </w:rPr>
            </w:pPr>
            <w:r w:rsidRPr="00CE614A">
              <w:rPr>
                <w:rStyle w:val="Vrazn"/>
                <w:rFonts w:eastAsiaTheme="majorEastAsia" w:cs="Arial"/>
                <w:color w:val="333333"/>
              </w:rPr>
              <w:t xml:space="preserve">0,23 km2 </w:t>
            </w:r>
            <w:r w:rsidRPr="00CE614A">
              <w:rPr>
                <w:rFonts w:cs="Arial"/>
                <w:b/>
                <w:color w:val="333333"/>
              </w:rPr>
              <w:t xml:space="preserve">- </w:t>
            </w:r>
            <w:r w:rsidRPr="00CE614A">
              <w:rPr>
                <w:rStyle w:val="Vrazn"/>
                <w:rFonts w:eastAsiaTheme="majorEastAsia" w:cs="Arial"/>
                <w:color w:val="333333"/>
              </w:rPr>
              <w:t xml:space="preserve">23 ha </w:t>
            </w:r>
            <w:r w:rsidRPr="00CE614A">
              <w:rPr>
                <w:rFonts w:cs="Arial"/>
                <w:color w:val="333333"/>
              </w:rPr>
              <w:t xml:space="preserve">- </w:t>
            </w:r>
            <w:r w:rsidRPr="00CE614A">
              <w:rPr>
                <w:rStyle w:val="blue"/>
                <w:rFonts w:cs="Arial"/>
                <w:color w:val="333333"/>
              </w:rPr>
              <w:t>1,23%</w:t>
            </w:r>
          </w:p>
        </w:tc>
      </w:tr>
    </w:tbl>
    <w:p w:rsidR="0056584F" w:rsidRDefault="0056584F" w:rsidP="0056584F">
      <w:pPr>
        <w:suppressAutoHyphens/>
        <w:autoSpaceDN w:val="0"/>
        <w:spacing w:after="179" w:line="256" w:lineRule="auto"/>
        <w:textAlignment w:val="baseline"/>
        <w:rPr>
          <w:rFonts w:ascii="Calibri" w:hAnsi="Calibri" w:cs="Calibri"/>
          <w:color w:val="000000"/>
          <w:lang w:eastAsia="sk-SK"/>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ind w:left="-5"/>
        <w:rPr>
          <w:rFonts w:ascii="Arial" w:hAnsi="Arial" w:cs="Arial"/>
          <w:b/>
        </w:rPr>
      </w:pPr>
      <w:r>
        <w:rPr>
          <w:rFonts w:ascii="Arial" w:hAnsi="Arial" w:cs="Arial"/>
          <w:b/>
        </w:rPr>
        <w:t xml:space="preserve">II. PROGRAM ROZVOJA BÝVANIA </w:t>
      </w:r>
    </w:p>
    <w:p w:rsidR="0056584F" w:rsidRDefault="0056584F" w:rsidP="0056584F">
      <w:pPr>
        <w:ind w:left="-5"/>
      </w:pPr>
      <w:r>
        <w:rPr>
          <w:rFonts w:ascii="Arial" w:hAnsi="Arial" w:cs="Arial"/>
          <w:b/>
        </w:rPr>
        <w:t xml:space="preserve"> </w:t>
      </w:r>
    </w:p>
    <w:p w:rsidR="0056584F" w:rsidRDefault="0056584F" w:rsidP="0056584F">
      <w:pPr>
        <w:pStyle w:val="Nadpis3"/>
        <w:spacing w:after="5" w:line="270" w:lineRule="auto"/>
        <w:ind w:left="-5"/>
      </w:pPr>
      <w:r>
        <w:rPr>
          <w:rFonts w:ascii="Arial" w:hAnsi="Arial" w:cs="Arial"/>
          <w:b/>
        </w:rPr>
        <w:t xml:space="preserve">A. Rámcové ciele rozvoja bývania na obdobie 10 rokov </w:t>
      </w:r>
    </w:p>
    <w:p w:rsidR="0056584F" w:rsidRDefault="0056584F" w:rsidP="0056584F">
      <w:pPr>
        <w:spacing w:after="22"/>
      </w:pPr>
      <w:r>
        <w:t xml:space="preserve"> </w:t>
      </w:r>
    </w:p>
    <w:p w:rsidR="0056584F" w:rsidRDefault="0056584F" w:rsidP="0056584F">
      <w:pPr>
        <w:ind w:left="-5" w:right="1128"/>
      </w:pPr>
      <w:r>
        <w:t xml:space="preserve">Program rozvoja bývania v obci Dubové  vychádza z dvoch základných faktov: </w:t>
      </w:r>
    </w:p>
    <w:p w:rsidR="0056584F" w:rsidRDefault="0056584F" w:rsidP="0056584F">
      <w:pPr>
        <w:ind w:left="-5" w:right="1128"/>
      </w:pPr>
      <w:r>
        <w:t xml:space="preserve">- v trhovom hospodárstve občan nesie primárnu zodpovednosť za obstaranie   vlastného bývania, </w:t>
      </w:r>
    </w:p>
    <w:p w:rsidR="0056584F" w:rsidRDefault="0056584F" w:rsidP="0056584F">
      <w:pPr>
        <w:numPr>
          <w:ilvl w:val="0"/>
          <w:numId w:val="11"/>
        </w:numPr>
        <w:spacing w:after="5" w:line="270" w:lineRule="auto"/>
        <w:ind w:right="843" w:hanging="139"/>
      </w:pPr>
      <w:r>
        <w:t xml:space="preserve">úlohou obce  je najmä vytvárať podmienky pre rozvoj bývania. </w:t>
      </w:r>
    </w:p>
    <w:p w:rsidR="0056584F" w:rsidRDefault="0056584F" w:rsidP="0056584F">
      <w:pPr>
        <w:spacing w:after="12"/>
      </w:pPr>
      <w:r>
        <w:t xml:space="preserve"> </w:t>
      </w:r>
    </w:p>
    <w:p w:rsidR="0056584F" w:rsidRDefault="0056584F" w:rsidP="0056584F">
      <w:pPr>
        <w:ind w:left="-5"/>
      </w:pPr>
      <w:r>
        <w:lastRenderedPageBreak/>
        <w:t xml:space="preserve">Výsledkom spoločného pôsobenia občana, obce, štátu a súkromného sektora v oblasti rozvoja bývania by mal byť vyvážený bytový trh a dostatok bytov zodpovedajúcich požiadavkám a možnostiam obyvateľov. </w:t>
      </w:r>
    </w:p>
    <w:p w:rsidR="0056584F" w:rsidRPr="00496278" w:rsidRDefault="0056584F" w:rsidP="0056584F">
      <w:pPr>
        <w:spacing w:after="20" w:line="276" w:lineRule="auto"/>
      </w:pPr>
      <w:r w:rsidRPr="00496278">
        <w:rPr>
          <w:rFonts w:cs="Arial"/>
          <w:b/>
        </w:rPr>
        <w:t xml:space="preserve"> </w:t>
      </w:r>
      <w:r w:rsidRPr="00496278">
        <w:rPr>
          <w:rFonts w:cs="Arial"/>
        </w:rPr>
        <w:t xml:space="preserve">Strategickým cieľom obce Dubové  v oblasti rozvoja bývania na obdobie 10 rokov je vytvoriť v obci podmienky pre zabezpečenie lepšej dostupnosti a kvality bývania pre rôzne skupiny obyvateľstva, podporujúce trvalo udržateľný rozvoj </w:t>
      </w:r>
      <w:r>
        <w:rPr>
          <w:rFonts w:cs="Arial"/>
        </w:rPr>
        <w:t>obce</w:t>
      </w:r>
      <w:r w:rsidRPr="00496278">
        <w:rPr>
          <w:rFonts w:cs="Arial"/>
        </w:rPr>
        <w:t xml:space="preserve">. </w:t>
      </w:r>
    </w:p>
    <w:p w:rsidR="0056584F" w:rsidRPr="00496278" w:rsidRDefault="0056584F" w:rsidP="0056584F">
      <w:pPr>
        <w:spacing w:after="22" w:line="276" w:lineRule="auto"/>
      </w:pPr>
      <w:r w:rsidRPr="00496278">
        <w:t xml:space="preserve"> </w:t>
      </w:r>
    </w:p>
    <w:p w:rsidR="0056584F" w:rsidRDefault="0056584F" w:rsidP="0056584F">
      <w:pPr>
        <w:ind w:left="-5"/>
      </w:pPr>
      <w:r>
        <w:t xml:space="preserve">Samospráva obce Dubové  má na nasledujúcich 10 rokov nasledovné priority: </w:t>
      </w:r>
    </w:p>
    <w:p w:rsidR="0056584F" w:rsidRDefault="0056584F" w:rsidP="0056584F">
      <w:pPr>
        <w:numPr>
          <w:ilvl w:val="0"/>
          <w:numId w:val="11"/>
        </w:numPr>
        <w:spacing w:after="5" w:line="270" w:lineRule="auto"/>
        <w:ind w:right="843" w:hanging="139"/>
      </w:pPr>
      <w:r>
        <w:t xml:space="preserve">zabezpečiť podmienky na výstavbu takého počtu bytov, vrátane   bezbariérových, ktorý by umožnil pokryť potreby nielen obyvateľov s trvalým   pobytom v Dubovom  ale aj žiadateľov o byt z okresu Turčianske Teplice. </w:t>
      </w:r>
      <w:r>
        <w:rPr>
          <w:b/>
        </w:rPr>
        <w:t xml:space="preserve">  Celkovo obec plánuje výstavbu minimálne jedného nájomného bytového domu</w:t>
      </w:r>
      <w:r>
        <w:t>.</w:t>
      </w:r>
    </w:p>
    <w:p w:rsidR="0056584F" w:rsidRDefault="0056584F" w:rsidP="0056584F">
      <w:pPr>
        <w:numPr>
          <w:ilvl w:val="0"/>
          <w:numId w:val="11"/>
        </w:numPr>
        <w:spacing w:after="5" w:line="270" w:lineRule="auto"/>
        <w:ind w:right="843" w:hanging="139"/>
      </w:pPr>
      <w:r>
        <w:t xml:space="preserve"> zabezpečiť podmienky pre prestavbu, resp. rekonštrukciu v súčasnosti    nevyužitých budov, ktoré sú vo vlastníctve obce ako aj tie, ktoré nie sú vlastníctvom obce, na byty prípadne penzióny, rokovať s majiteľmi týchto budov a súkromnými investormi - uspokojením dopytu po bytoch stabilizovať domáce obyvateľstvo, obmedziť   proces migrácie a priaznivo ovplyvniť demografický vývoj obyvateľstva, </w:t>
      </w:r>
    </w:p>
    <w:p w:rsidR="0056584F" w:rsidRDefault="0056584F" w:rsidP="0056584F">
      <w:pPr>
        <w:numPr>
          <w:ilvl w:val="0"/>
          <w:numId w:val="11"/>
        </w:numPr>
        <w:spacing w:after="5" w:line="270" w:lineRule="auto"/>
        <w:ind w:right="843" w:hanging="139"/>
      </w:pPr>
      <w:r>
        <w:t xml:space="preserve"> vytvoriť podmienky pre sociálne bývanie v obci v nevyhnutnom rozsahu, </w:t>
      </w:r>
    </w:p>
    <w:p w:rsidR="0056584F" w:rsidRDefault="0056584F" w:rsidP="0056584F">
      <w:pPr>
        <w:numPr>
          <w:ilvl w:val="0"/>
          <w:numId w:val="11"/>
        </w:numPr>
        <w:spacing w:after="5" w:line="270" w:lineRule="auto"/>
        <w:ind w:right="843" w:hanging="139"/>
      </w:pPr>
      <w:r>
        <w:t xml:space="preserve">prilákať súkromných investorov bytovej výstavby do obce a spolupracovať   s nimi pri obstarávaní bytov, </w:t>
      </w:r>
    </w:p>
    <w:p w:rsidR="0056584F" w:rsidRDefault="0056584F" w:rsidP="0056584F">
      <w:pPr>
        <w:numPr>
          <w:ilvl w:val="0"/>
          <w:numId w:val="11"/>
        </w:numPr>
        <w:spacing w:after="5" w:line="270" w:lineRule="auto"/>
        <w:ind w:right="843" w:hanging="139"/>
      </w:pPr>
      <w:r>
        <w:t xml:space="preserve">zabezpečiť kvalitnú správu a hospodárenie s obecným bytovým fondom, </w:t>
      </w:r>
    </w:p>
    <w:p w:rsidR="0056584F" w:rsidRDefault="0056584F" w:rsidP="0056584F">
      <w:pPr>
        <w:numPr>
          <w:ilvl w:val="0"/>
          <w:numId w:val="11"/>
        </w:numPr>
        <w:spacing w:after="5" w:line="270" w:lineRule="auto"/>
        <w:ind w:right="843" w:hanging="139"/>
      </w:pPr>
      <w:r>
        <w:t xml:space="preserve">vytvoriť podmienky pre revitalizáciu obytných zón a zvýšiť tak kvalitu života     obyvateľov obce, </w:t>
      </w:r>
    </w:p>
    <w:p w:rsidR="0056584F" w:rsidRDefault="0056584F" w:rsidP="0056584F">
      <w:pPr>
        <w:numPr>
          <w:ilvl w:val="0"/>
          <w:numId w:val="11"/>
        </w:numPr>
        <w:spacing w:after="5" w:line="270" w:lineRule="auto"/>
        <w:ind w:right="843" w:hanging="139"/>
      </w:pPr>
      <w:r>
        <w:t xml:space="preserve">vyvíjať aktivity pre skvalitnenie životných podmienok občanov v poproduktívnom veku a so zdravotným    postihnutím a ich plnú integráciu do života spoločnosti (bezbariérové    sprístupnenia úradov a inštitúcií, bezbariérové pešie trasy pre vozičkárov    a nevidiacich a pod.) </w:t>
      </w:r>
    </w:p>
    <w:p w:rsidR="0056584F" w:rsidRDefault="0056584F" w:rsidP="0056584F">
      <w:pPr>
        <w:numPr>
          <w:ilvl w:val="0"/>
          <w:numId w:val="11"/>
        </w:numPr>
        <w:spacing w:after="5" w:line="270" w:lineRule="auto"/>
        <w:ind w:right="843" w:hanging="139"/>
      </w:pPr>
      <w:r>
        <w:t xml:space="preserve">zvyšovať povedomie obyvateľstva o zodpovednosti za stav bytového fondu    a jeho okolia, </w:t>
      </w:r>
    </w:p>
    <w:p w:rsidR="0056584F" w:rsidRDefault="0056584F" w:rsidP="0056584F">
      <w:pPr>
        <w:spacing w:after="0"/>
      </w:pPr>
      <w:r>
        <w:t xml:space="preserve"> </w:t>
      </w:r>
    </w:p>
    <w:p w:rsidR="0056584F" w:rsidRDefault="0056584F" w:rsidP="0056584F">
      <w:pPr>
        <w:spacing w:after="30"/>
      </w:pPr>
      <w:r>
        <w:t xml:space="preserve"> </w:t>
      </w:r>
    </w:p>
    <w:p w:rsidR="0056584F" w:rsidRDefault="0056584F" w:rsidP="0056584F">
      <w:pPr>
        <w:pStyle w:val="Nadpis4"/>
        <w:ind w:left="-5"/>
      </w:pPr>
      <w:r>
        <w:t xml:space="preserve">II. Program rozvoja bývania na 5 rokov </w:t>
      </w:r>
    </w:p>
    <w:p w:rsidR="0056584F" w:rsidRDefault="0056584F" w:rsidP="0056584F">
      <w:pPr>
        <w:ind w:left="-5"/>
      </w:pPr>
      <w:r>
        <w:t xml:space="preserve">Keďže časť obyvateľstva nedisponuje dostatočnými finančnými prostriedkami na kúpu bytu ani príjmom potrebným na splácanie úveru, sú tieto domácnosti odkázané na pomoc verejného sektora. </w:t>
      </w:r>
    </w:p>
    <w:p w:rsidR="0056584F" w:rsidRDefault="0056584F" w:rsidP="0056584F">
      <w:pPr>
        <w:spacing w:after="0"/>
      </w:pPr>
      <w:r>
        <w:t xml:space="preserve"> </w:t>
      </w:r>
    </w:p>
    <w:p w:rsidR="0056584F" w:rsidRDefault="0056584F" w:rsidP="0056584F">
      <w:pPr>
        <w:tabs>
          <w:tab w:val="left" w:pos="851"/>
        </w:tabs>
        <w:spacing w:line="276" w:lineRule="auto"/>
        <w:jc w:val="both"/>
        <w:rPr>
          <w:rFonts w:ascii="Arial" w:hAnsi="Arial"/>
          <w:b/>
        </w:rPr>
      </w:pPr>
      <w:r>
        <w:rPr>
          <w:rFonts w:ascii="Arial" w:hAnsi="Arial"/>
          <w:b/>
        </w:rPr>
        <w:t>Návrh riešenia bytového fondu a obyvateľov v zmysle územného plánu obce Dubové</w:t>
      </w:r>
    </w:p>
    <w:p w:rsidR="0056584F" w:rsidRDefault="0056584F" w:rsidP="0056584F">
      <w:pPr>
        <w:pStyle w:val="Zkladntext"/>
        <w:spacing w:line="276" w:lineRule="auto"/>
        <w:jc w:val="both"/>
        <w:rPr>
          <w:sz w:val="20"/>
        </w:rPr>
      </w:pPr>
    </w:p>
    <w:p w:rsidR="0056584F" w:rsidRDefault="0056584F" w:rsidP="0056584F">
      <w:pPr>
        <w:pStyle w:val="Zkladntext"/>
        <w:tabs>
          <w:tab w:val="left" w:pos="851"/>
        </w:tabs>
        <w:spacing w:line="276" w:lineRule="auto"/>
        <w:jc w:val="both"/>
        <w:rPr>
          <w:b w:val="0"/>
          <w:sz w:val="20"/>
        </w:rPr>
      </w:pPr>
      <w:r>
        <w:rPr>
          <w:b w:val="0"/>
          <w:sz w:val="20"/>
        </w:rPr>
        <w:t>Návrh lokalít s rozvojom bytového fondu vyplynul z prirodzeného krajinno-priestorového a urbanistického členenia územia obce. Následne uvedené počty navrhovaných bytov vo forme prevažne IBV a doplnkovo HBV podľa jednotlivých rozvojových lokalít. Návrh vychádza a je v súlade z územným plánom obce.</w:t>
      </w:r>
    </w:p>
    <w:p w:rsidR="0056584F" w:rsidRDefault="0056584F" w:rsidP="0056584F">
      <w:pPr>
        <w:pStyle w:val="Zkladntext"/>
        <w:tabs>
          <w:tab w:val="left" w:pos="851"/>
        </w:tabs>
        <w:spacing w:line="276" w:lineRule="auto"/>
        <w:jc w:val="both"/>
        <w:rPr>
          <w:b w:val="0"/>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417"/>
        <w:gridCol w:w="1418"/>
        <w:gridCol w:w="1417"/>
        <w:gridCol w:w="1418"/>
      </w:tblGrid>
      <w:tr w:rsidR="0056584F" w:rsidTr="001E6CFE">
        <w:trPr>
          <w:cantSplit/>
        </w:trPr>
        <w:tc>
          <w:tcPr>
            <w:tcW w:w="3119" w:type="dxa"/>
            <w:vMerge w:val="restart"/>
          </w:tcPr>
          <w:p w:rsidR="0056584F" w:rsidRDefault="0056584F" w:rsidP="001E6CFE">
            <w:pPr>
              <w:pStyle w:val="Zkladntext"/>
              <w:tabs>
                <w:tab w:val="left" w:pos="851"/>
              </w:tabs>
              <w:spacing w:line="276" w:lineRule="auto"/>
              <w:jc w:val="both"/>
              <w:rPr>
                <w:sz w:val="20"/>
              </w:rPr>
            </w:pPr>
            <w:r>
              <w:rPr>
                <w:sz w:val="20"/>
              </w:rPr>
              <w:t>Lokalita</w:t>
            </w:r>
          </w:p>
        </w:tc>
        <w:tc>
          <w:tcPr>
            <w:tcW w:w="2835" w:type="dxa"/>
            <w:gridSpan w:val="2"/>
          </w:tcPr>
          <w:p w:rsidR="0056584F" w:rsidRDefault="0056584F" w:rsidP="001E6CFE">
            <w:pPr>
              <w:pStyle w:val="Zkladntext"/>
              <w:tabs>
                <w:tab w:val="left" w:pos="851"/>
              </w:tabs>
              <w:spacing w:line="276" w:lineRule="auto"/>
              <w:jc w:val="center"/>
              <w:rPr>
                <w:sz w:val="20"/>
              </w:rPr>
            </w:pPr>
            <w:r>
              <w:rPr>
                <w:sz w:val="20"/>
              </w:rPr>
              <w:t>IBV</w:t>
            </w:r>
          </w:p>
        </w:tc>
        <w:tc>
          <w:tcPr>
            <w:tcW w:w="2835" w:type="dxa"/>
            <w:gridSpan w:val="2"/>
          </w:tcPr>
          <w:p w:rsidR="0056584F" w:rsidRDefault="0056584F" w:rsidP="001E6CFE">
            <w:pPr>
              <w:pStyle w:val="Zkladntext"/>
              <w:tabs>
                <w:tab w:val="left" w:pos="851"/>
              </w:tabs>
              <w:spacing w:line="276" w:lineRule="auto"/>
              <w:jc w:val="center"/>
              <w:rPr>
                <w:sz w:val="20"/>
              </w:rPr>
            </w:pPr>
            <w:r>
              <w:rPr>
                <w:sz w:val="20"/>
              </w:rPr>
              <w:t>HBV</w:t>
            </w:r>
          </w:p>
        </w:tc>
      </w:tr>
      <w:tr w:rsidR="0056584F" w:rsidTr="001E6CFE">
        <w:trPr>
          <w:cantSplit/>
        </w:trPr>
        <w:tc>
          <w:tcPr>
            <w:tcW w:w="3119" w:type="dxa"/>
            <w:vMerge/>
          </w:tcPr>
          <w:p w:rsidR="0056584F" w:rsidRDefault="0056584F" w:rsidP="001E6CFE">
            <w:pPr>
              <w:pStyle w:val="Zkladntext"/>
              <w:tabs>
                <w:tab w:val="left" w:pos="851"/>
              </w:tabs>
              <w:spacing w:line="276" w:lineRule="auto"/>
              <w:jc w:val="both"/>
              <w:rPr>
                <w:b w:val="0"/>
                <w:sz w:val="20"/>
              </w:rPr>
            </w:pPr>
          </w:p>
        </w:tc>
        <w:tc>
          <w:tcPr>
            <w:tcW w:w="1417" w:type="dxa"/>
          </w:tcPr>
          <w:p w:rsidR="0056584F" w:rsidRDefault="0056584F" w:rsidP="001E6CFE">
            <w:pPr>
              <w:pStyle w:val="Zkladntext"/>
              <w:tabs>
                <w:tab w:val="left" w:pos="851"/>
              </w:tabs>
              <w:spacing w:line="276" w:lineRule="auto"/>
              <w:jc w:val="center"/>
              <w:rPr>
                <w:b w:val="0"/>
                <w:sz w:val="20"/>
              </w:rPr>
            </w:pPr>
            <w:r>
              <w:rPr>
                <w:b w:val="0"/>
                <w:sz w:val="20"/>
              </w:rPr>
              <w:t>návrh</w:t>
            </w:r>
          </w:p>
        </w:tc>
        <w:tc>
          <w:tcPr>
            <w:tcW w:w="1418" w:type="dxa"/>
          </w:tcPr>
          <w:p w:rsidR="0056584F" w:rsidRDefault="0056584F" w:rsidP="001E6CFE">
            <w:pPr>
              <w:pStyle w:val="Zkladntext"/>
              <w:tabs>
                <w:tab w:val="left" w:pos="851"/>
              </w:tabs>
              <w:spacing w:line="276" w:lineRule="auto"/>
              <w:jc w:val="center"/>
              <w:rPr>
                <w:b w:val="0"/>
                <w:sz w:val="20"/>
              </w:rPr>
            </w:pPr>
            <w:r>
              <w:rPr>
                <w:b w:val="0"/>
                <w:sz w:val="20"/>
              </w:rPr>
              <w:t>výhľad</w:t>
            </w:r>
          </w:p>
        </w:tc>
        <w:tc>
          <w:tcPr>
            <w:tcW w:w="1417" w:type="dxa"/>
          </w:tcPr>
          <w:p w:rsidR="0056584F" w:rsidRDefault="0056584F" w:rsidP="001E6CFE">
            <w:pPr>
              <w:pStyle w:val="Zkladntext"/>
              <w:tabs>
                <w:tab w:val="left" w:pos="851"/>
              </w:tabs>
              <w:spacing w:line="276" w:lineRule="auto"/>
              <w:jc w:val="center"/>
              <w:rPr>
                <w:b w:val="0"/>
                <w:sz w:val="20"/>
              </w:rPr>
            </w:pPr>
            <w:r>
              <w:rPr>
                <w:b w:val="0"/>
                <w:sz w:val="20"/>
              </w:rPr>
              <w:t>Návrh</w:t>
            </w:r>
          </w:p>
        </w:tc>
        <w:tc>
          <w:tcPr>
            <w:tcW w:w="1418" w:type="dxa"/>
          </w:tcPr>
          <w:p w:rsidR="0056584F" w:rsidRDefault="0056584F" w:rsidP="001E6CFE">
            <w:pPr>
              <w:pStyle w:val="Zkladntext"/>
              <w:tabs>
                <w:tab w:val="left" w:pos="851"/>
              </w:tabs>
              <w:spacing w:line="276" w:lineRule="auto"/>
              <w:jc w:val="center"/>
              <w:rPr>
                <w:b w:val="0"/>
                <w:sz w:val="20"/>
              </w:rPr>
            </w:pPr>
            <w:r>
              <w:rPr>
                <w:b w:val="0"/>
                <w:sz w:val="20"/>
              </w:rPr>
              <w:t>výhľad</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A</w:t>
            </w:r>
            <w:r>
              <w:rPr>
                <w:b w:val="0"/>
                <w:sz w:val="20"/>
              </w:rPr>
              <w:t xml:space="preserve">   Čepčiansky vŕšok</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13</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17</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lastRenderedPageBreak/>
              <w:t>B</w:t>
            </w:r>
            <w:r>
              <w:rPr>
                <w:b w:val="0"/>
                <w:sz w:val="20"/>
              </w:rPr>
              <w:t xml:space="preserve">   Záturčie</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5</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10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4</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C</w:t>
            </w:r>
            <w:r>
              <w:rPr>
                <w:b w:val="0"/>
                <w:sz w:val="20"/>
              </w:rPr>
              <w:t xml:space="preserve">   Pod sadom</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3</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16</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D</w:t>
            </w:r>
            <w:r>
              <w:rPr>
                <w:b w:val="0"/>
                <w:sz w:val="20"/>
              </w:rPr>
              <w:t xml:space="preserve">   Za ihriskom</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20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12</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E</w:t>
            </w:r>
            <w:r>
              <w:rPr>
                <w:b w:val="0"/>
                <w:sz w:val="20"/>
              </w:rPr>
              <w:t xml:space="preserve">   Do Lubnej</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6</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6</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F</w:t>
            </w:r>
            <w:r>
              <w:rPr>
                <w:b w:val="0"/>
                <w:sz w:val="20"/>
              </w:rPr>
              <w:t xml:space="preserve">   Pod Tehelňou</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11</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7</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sz w:val="20"/>
              </w:rPr>
              <w:t>G</w:t>
            </w:r>
            <w:r>
              <w:rPr>
                <w:b w:val="0"/>
                <w:sz w:val="20"/>
              </w:rPr>
              <w:t xml:space="preserve">   Pod Vŕškom</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7</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12</w:t>
            </w:r>
          </w:p>
        </w:tc>
        <w:tc>
          <w:tcPr>
            <w:tcW w:w="1417"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c>
          <w:tcPr>
            <w:tcW w:w="1418" w:type="dxa"/>
          </w:tcPr>
          <w:p w:rsidR="0056584F" w:rsidRDefault="0056584F" w:rsidP="001E6CFE">
            <w:pPr>
              <w:pStyle w:val="Zkladntext"/>
              <w:tabs>
                <w:tab w:val="left" w:pos="851"/>
              </w:tabs>
              <w:spacing w:line="276" w:lineRule="auto"/>
              <w:ind w:right="457"/>
              <w:jc w:val="right"/>
              <w:rPr>
                <w:b w:val="0"/>
                <w:sz w:val="20"/>
              </w:rPr>
            </w:pPr>
            <w:r>
              <w:rPr>
                <w:b w:val="0"/>
                <w:sz w:val="20"/>
              </w:rPr>
              <w:t>0</w:t>
            </w:r>
          </w:p>
        </w:tc>
      </w:tr>
      <w:tr w:rsidR="0056584F" w:rsidTr="001E6CFE">
        <w:tc>
          <w:tcPr>
            <w:tcW w:w="3119" w:type="dxa"/>
          </w:tcPr>
          <w:p w:rsidR="0056584F" w:rsidRDefault="0056584F" w:rsidP="001E6CFE">
            <w:pPr>
              <w:pStyle w:val="Zkladntext"/>
              <w:tabs>
                <w:tab w:val="left" w:pos="851"/>
              </w:tabs>
              <w:spacing w:line="276" w:lineRule="auto"/>
              <w:jc w:val="both"/>
              <w:rPr>
                <w:b w:val="0"/>
                <w:sz w:val="20"/>
              </w:rPr>
            </w:pPr>
            <w:r>
              <w:rPr>
                <w:b w:val="0"/>
                <w:sz w:val="20"/>
              </w:rPr>
              <w:t>C e l k o m</w:t>
            </w:r>
          </w:p>
        </w:tc>
        <w:tc>
          <w:tcPr>
            <w:tcW w:w="1417" w:type="dxa"/>
          </w:tcPr>
          <w:p w:rsidR="0056584F" w:rsidRDefault="0056584F" w:rsidP="001E6CFE">
            <w:pPr>
              <w:pStyle w:val="Zkladntext"/>
              <w:tabs>
                <w:tab w:val="left" w:pos="851"/>
              </w:tabs>
              <w:spacing w:line="276" w:lineRule="auto"/>
              <w:ind w:right="457"/>
              <w:jc w:val="right"/>
              <w:rPr>
                <w:sz w:val="20"/>
              </w:rPr>
            </w:pPr>
            <w:r>
              <w:rPr>
                <w:sz w:val="20"/>
              </w:rPr>
              <w:t>65</w:t>
            </w:r>
          </w:p>
        </w:tc>
        <w:tc>
          <w:tcPr>
            <w:tcW w:w="1418" w:type="dxa"/>
          </w:tcPr>
          <w:p w:rsidR="0056584F" w:rsidRDefault="0056584F" w:rsidP="001E6CFE">
            <w:pPr>
              <w:pStyle w:val="Zkladntext"/>
              <w:tabs>
                <w:tab w:val="left" w:pos="851"/>
              </w:tabs>
              <w:spacing w:line="276" w:lineRule="auto"/>
              <w:ind w:right="457"/>
              <w:jc w:val="right"/>
              <w:rPr>
                <w:sz w:val="20"/>
              </w:rPr>
            </w:pPr>
            <w:r>
              <w:rPr>
                <w:sz w:val="20"/>
              </w:rPr>
              <w:t>70</w:t>
            </w:r>
          </w:p>
        </w:tc>
        <w:tc>
          <w:tcPr>
            <w:tcW w:w="1417" w:type="dxa"/>
          </w:tcPr>
          <w:p w:rsidR="0056584F" w:rsidRDefault="0056584F" w:rsidP="001E6CFE">
            <w:pPr>
              <w:pStyle w:val="Zkladntext"/>
              <w:tabs>
                <w:tab w:val="left" w:pos="851"/>
              </w:tabs>
              <w:spacing w:line="276" w:lineRule="auto"/>
              <w:ind w:right="457"/>
              <w:jc w:val="right"/>
              <w:rPr>
                <w:sz w:val="20"/>
              </w:rPr>
            </w:pPr>
            <w:r>
              <w:rPr>
                <w:sz w:val="20"/>
              </w:rPr>
              <w:t>10</w:t>
            </w:r>
          </w:p>
        </w:tc>
        <w:tc>
          <w:tcPr>
            <w:tcW w:w="1418" w:type="dxa"/>
          </w:tcPr>
          <w:p w:rsidR="0056584F" w:rsidRDefault="0056584F" w:rsidP="001E6CFE">
            <w:pPr>
              <w:pStyle w:val="Zkladntext"/>
              <w:tabs>
                <w:tab w:val="left" w:pos="851"/>
              </w:tabs>
              <w:spacing w:line="276" w:lineRule="auto"/>
              <w:ind w:right="457"/>
              <w:jc w:val="right"/>
              <w:rPr>
                <w:sz w:val="20"/>
              </w:rPr>
            </w:pPr>
            <w:r>
              <w:rPr>
                <w:sz w:val="20"/>
              </w:rPr>
              <w:t>4</w:t>
            </w:r>
          </w:p>
        </w:tc>
      </w:tr>
    </w:tbl>
    <w:p w:rsidR="0056584F" w:rsidRDefault="0056584F" w:rsidP="0056584F">
      <w:pPr>
        <w:pStyle w:val="Zkladntext"/>
        <w:tabs>
          <w:tab w:val="left" w:pos="851"/>
        </w:tabs>
        <w:spacing w:line="276" w:lineRule="auto"/>
        <w:jc w:val="both"/>
        <w:rPr>
          <w:b w:val="0"/>
          <w:sz w:val="20"/>
        </w:rPr>
      </w:pPr>
      <w:r>
        <w:rPr>
          <w:b w:val="0"/>
          <w:sz w:val="20"/>
        </w:rPr>
        <w:tab/>
      </w:r>
    </w:p>
    <w:p w:rsidR="0056584F" w:rsidRDefault="0056584F" w:rsidP="0056584F">
      <w:pPr>
        <w:pStyle w:val="Zkladntext"/>
        <w:spacing w:line="276" w:lineRule="auto"/>
        <w:jc w:val="both"/>
        <w:rPr>
          <w:b w:val="0"/>
          <w:sz w:val="20"/>
        </w:rPr>
      </w:pPr>
      <w:r>
        <w:rPr>
          <w:b w:val="0"/>
          <w:sz w:val="20"/>
        </w:rPr>
        <w:tab/>
        <w:t>Návrh IBV + HBV :</w:t>
      </w:r>
      <w:r>
        <w:rPr>
          <w:b w:val="0"/>
          <w:sz w:val="20"/>
        </w:rPr>
        <w:tab/>
        <w:t>byty spolu</w:t>
      </w:r>
      <w:r>
        <w:rPr>
          <w:b w:val="0"/>
          <w:sz w:val="20"/>
        </w:rPr>
        <w:tab/>
        <w:t>75</w:t>
      </w:r>
    </w:p>
    <w:p w:rsidR="0056584F" w:rsidRDefault="0056584F" w:rsidP="0056584F">
      <w:pPr>
        <w:pStyle w:val="Zkladntext"/>
        <w:spacing w:line="276" w:lineRule="auto"/>
        <w:jc w:val="both"/>
        <w:rPr>
          <w:b w:val="0"/>
          <w:sz w:val="20"/>
        </w:rPr>
      </w:pPr>
      <w:r>
        <w:rPr>
          <w:b w:val="0"/>
          <w:sz w:val="20"/>
        </w:rPr>
        <w:tab/>
        <w:t>Výhľad IBV + HBV :</w:t>
      </w:r>
      <w:r>
        <w:rPr>
          <w:b w:val="0"/>
          <w:sz w:val="20"/>
        </w:rPr>
        <w:tab/>
        <w:t>byty spolu</w:t>
      </w:r>
      <w:r>
        <w:rPr>
          <w:b w:val="0"/>
          <w:sz w:val="20"/>
        </w:rPr>
        <w:tab/>
        <w:t>75</w:t>
      </w:r>
    </w:p>
    <w:p w:rsidR="0056584F" w:rsidRPr="00D13C1E" w:rsidRDefault="0056584F" w:rsidP="0056584F">
      <w:pPr>
        <w:spacing w:after="25"/>
        <w:rPr>
          <w:highlight w:val="yellow"/>
        </w:rPr>
      </w:pPr>
    </w:p>
    <w:p w:rsidR="0056584F" w:rsidRPr="00540097" w:rsidRDefault="0056584F" w:rsidP="0056584F">
      <w:pPr>
        <w:spacing w:after="55"/>
        <w:ind w:left="-5"/>
      </w:pPr>
      <w:r w:rsidRPr="00540097">
        <w:t>Možnosti postupu  pri realizácii riešenia bytového fondu:</w:t>
      </w:r>
    </w:p>
    <w:p w:rsidR="0056584F" w:rsidRPr="00540097" w:rsidRDefault="0056584F" w:rsidP="0056584F">
      <w:pPr>
        <w:spacing w:after="55"/>
        <w:ind w:left="-5"/>
      </w:pPr>
      <w:r w:rsidRPr="00540097">
        <w:t xml:space="preserve">1/ Nájomný bytový dom </w:t>
      </w:r>
    </w:p>
    <w:p w:rsidR="0056584F" w:rsidRPr="00540097" w:rsidRDefault="0056584F" w:rsidP="0056584F">
      <w:pPr>
        <w:spacing w:after="55"/>
        <w:ind w:left="-5"/>
      </w:pPr>
      <w:r w:rsidRPr="00540097">
        <w:t xml:space="preserve">a/ Obec začiatkom roka príslušného kalendárneho roka  požiada o poskytnutie dotácie na obstaranie       nájomných  bytov na účely sociálneho bývania formou kúpy, na základe zákona  č.443/2010 Z.z. o dotáciách na rozvoj bývania a o sociálnom bývaní v platnom  znení  </w:t>
      </w:r>
    </w:p>
    <w:p w:rsidR="0056584F" w:rsidRPr="00540097" w:rsidRDefault="0056584F" w:rsidP="0056584F">
      <w:pPr>
        <w:spacing w:after="39"/>
        <w:ind w:left="-5" w:right="772"/>
      </w:pPr>
      <w:r w:rsidRPr="00540097">
        <w:t xml:space="preserve">b/ Obec súčasne požiada o poskytnutie podpory na kúpu uvedených nájomných  bytov formou úveru zo Štátneho fondu rozvoja bývania podľa zákona č.150/2013  Z.z. o Štátnom fonde  rozvoja bývania. </w:t>
      </w:r>
    </w:p>
    <w:p w:rsidR="0056584F" w:rsidRPr="00540097" w:rsidRDefault="0056584F" w:rsidP="0056584F">
      <w:pPr>
        <w:spacing w:after="59"/>
      </w:pPr>
      <w:r w:rsidRPr="00540097">
        <w:t xml:space="preserve"> </w:t>
      </w:r>
    </w:p>
    <w:p w:rsidR="0056584F" w:rsidRPr="00540097" w:rsidRDefault="0056584F" w:rsidP="0056584F">
      <w:pPr>
        <w:spacing w:after="41"/>
        <w:ind w:left="-5" w:right="931"/>
      </w:pPr>
      <w:r w:rsidRPr="00540097">
        <w:t xml:space="preserve">2/ Obec v zmysle zákona č.443/2010 Z.z. o dotáciach na rozvoj bývania a o sociálnom bývaní požiada o poskytnutie dotácie na obstaranie-kúpu technickej vybavenosti podmieňujúcej kúpu a užívanie nájomných nájomných bytov, na  ktorých obstaranie bude poskytnutá  dotácia. </w:t>
      </w:r>
    </w:p>
    <w:p w:rsidR="0056584F" w:rsidRPr="00540097" w:rsidRDefault="0056584F" w:rsidP="0056584F">
      <w:pPr>
        <w:spacing w:after="20"/>
      </w:pPr>
      <w:r w:rsidRPr="00540097">
        <w:t xml:space="preserve"> </w:t>
      </w:r>
    </w:p>
    <w:p w:rsidR="0056584F" w:rsidRPr="00540097" w:rsidRDefault="0056584F" w:rsidP="0056584F">
      <w:pPr>
        <w:ind w:left="-5"/>
      </w:pPr>
      <w:r w:rsidRPr="00540097">
        <w:t xml:space="preserve">3./ V priebehu budúcich 5 rokov sa budú realizovať akcie: </w:t>
      </w:r>
    </w:p>
    <w:p w:rsidR="0056584F" w:rsidRPr="00540097" w:rsidRDefault="0056584F" w:rsidP="0056584F">
      <w:pPr>
        <w:ind w:left="-5" w:right="275"/>
      </w:pPr>
      <w:r w:rsidRPr="00540097">
        <w:t xml:space="preserve">     a./ výstavba nájomného bytového domu, ktoré obec Dubové  následne odkúpi do svojho vlastníctva (uvažuje sa s nájomnými i komerčnými  bytmi  v závislosti od záujmu žiadateľov), </w:t>
      </w:r>
    </w:p>
    <w:p w:rsidR="0056584F" w:rsidRPr="00540097" w:rsidRDefault="0056584F" w:rsidP="0056584F">
      <w:pPr>
        <w:spacing w:after="30"/>
      </w:pPr>
      <w:r w:rsidRPr="00540097">
        <w:t xml:space="preserve"> </w:t>
      </w:r>
    </w:p>
    <w:p w:rsidR="0056584F" w:rsidRDefault="0056584F" w:rsidP="0056584F">
      <w:pPr>
        <w:spacing w:after="3"/>
        <w:ind w:left="-5"/>
      </w:pPr>
      <w:r w:rsidRPr="00540097">
        <w:rPr>
          <w:b/>
        </w:rPr>
        <w:t>V novej bytovej zóne v rámci užívania bytového domu, resp. bytových domov   obec plánuje zabezpečenie výstavby detského ihriska a stavieb občianskej vybavenosti  podľa pripravovaného územného plánu.</w:t>
      </w:r>
      <w:r>
        <w:rPr>
          <w:b/>
        </w:rPr>
        <w:t xml:space="preserve"> </w:t>
      </w:r>
    </w:p>
    <w:p w:rsidR="0056584F" w:rsidRDefault="0056584F" w:rsidP="0056584F">
      <w:pPr>
        <w:spacing w:after="22"/>
        <w:ind w:left="1068"/>
      </w:pPr>
      <w:r>
        <w:t xml:space="preserve"> </w:t>
      </w:r>
    </w:p>
    <w:p w:rsidR="0056584F" w:rsidRDefault="0056584F" w:rsidP="0056584F">
      <w:pPr>
        <w:ind w:left="-5"/>
      </w:pPr>
      <w:r>
        <w:t xml:space="preserve">Riadenie projektu rozvoja bývania </w:t>
      </w:r>
    </w:p>
    <w:p w:rsidR="0056584F" w:rsidRDefault="0056584F" w:rsidP="0056584F">
      <w:pPr>
        <w:numPr>
          <w:ilvl w:val="0"/>
          <w:numId w:val="12"/>
        </w:numPr>
        <w:spacing w:after="5" w:line="270" w:lineRule="auto"/>
        <w:ind w:hanging="360"/>
      </w:pPr>
      <w:r>
        <w:t xml:space="preserve">Schválenie Programu rozvoja bývania Obecným zastupiteľstvom v mesiaci október 2016 </w:t>
      </w:r>
    </w:p>
    <w:p w:rsidR="0056584F" w:rsidRDefault="0056584F" w:rsidP="0056584F">
      <w:pPr>
        <w:numPr>
          <w:ilvl w:val="0"/>
          <w:numId w:val="12"/>
        </w:numPr>
        <w:spacing w:after="5" w:line="270" w:lineRule="auto"/>
        <w:ind w:hanging="360"/>
      </w:pPr>
      <w:r>
        <w:t xml:space="preserve">Začlenenie aktivít Programu rozvoja bývania do rozpočtu obce Dubové na jednotlivé roky </w:t>
      </w:r>
    </w:p>
    <w:p w:rsidR="0056584F" w:rsidRDefault="0056584F" w:rsidP="0056584F">
      <w:pPr>
        <w:numPr>
          <w:ilvl w:val="0"/>
          <w:numId w:val="12"/>
        </w:numPr>
        <w:spacing w:after="5" w:line="270" w:lineRule="auto"/>
        <w:ind w:hanging="360"/>
      </w:pPr>
      <w:r>
        <w:t xml:space="preserve">Realizácia aktivít Programu rozvoja bývania počas jednotlivých rokov </w:t>
      </w:r>
    </w:p>
    <w:p w:rsidR="0056584F" w:rsidRDefault="0056584F" w:rsidP="0056584F">
      <w:pPr>
        <w:numPr>
          <w:ilvl w:val="0"/>
          <w:numId w:val="12"/>
        </w:numPr>
        <w:spacing w:after="5" w:line="270" w:lineRule="auto"/>
        <w:ind w:hanging="360"/>
      </w:pPr>
      <w:r>
        <w:t xml:space="preserve">Monitorovanie a vyhodnocovanie plnenia aktivít programu rozvoja bývania  v danom roku </w:t>
      </w:r>
    </w:p>
    <w:p w:rsidR="0056584F" w:rsidRDefault="0056584F" w:rsidP="0056584F">
      <w:pPr>
        <w:numPr>
          <w:ilvl w:val="0"/>
          <w:numId w:val="12"/>
        </w:numPr>
        <w:spacing w:after="5" w:line="270" w:lineRule="auto"/>
        <w:ind w:hanging="360"/>
      </w:pPr>
      <w:r>
        <w:t xml:space="preserve">Aktualizácia Programu rozvoja bývania v roku 2020 </w:t>
      </w:r>
    </w:p>
    <w:p w:rsidR="0056584F" w:rsidRDefault="0056584F" w:rsidP="0056584F">
      <w:pPr>
        <w:spacing w:after="22"/>
      </w:pPr>
      <w:r>
        <w:t xml:space="preserve"> </w:t>
      </w:r>
    </w:p>
    <w:p w:rsidR="0056584F" w:rsidRDefault="0056584F" w:rsidP="0056584F">
      <w:pPr>
        <w:ind w:left="-5"/>
      </w:pPr>
      <w:r>
        <w:t xml:space="preserve">Program rozvoja bývania je otvorený dokument, ktorý môže byť priebežne podľa potrieb a návrhov aktualizovaný a dopĺňaný.  </w:t>
      </w:r>
    </w:p>
    <w:p w:rsidR="0056584F" w:rsidRDefault="0056584F" w:rsidP="0056584F">
      <w:pPr>
        <w:spacing w:after="45"/>
        <w:rPr>
          <w:b/>
          <w:u w:val="single"/>
        </w:rPr>
      </w:pPr>
    </w:p>
    <w:p w:rsidR="0056584F" w:rsidRPr="00F31121" w:rsidRDefault="0056584F" w:rsidP="0056584F">
      <w:pPr>
        <w:spacing w:after="45"/>
        <w:rPr>
          <w:b/>
          <w:u w:val="single"/>
        </w:rPr>
      </w:pPr>
      <w:r w:rsidRPr="00F31121">
        <w:rPr>
          <w:b/>
          <w:u w:val="single"/>
        </w:rPr>
        <w:t xml:space="preserve">Príloha : mapový podklad s vyznačením lokalít zón v zmysle územného plánu obce. </w:t>
      </w:r>
    </w:p>
    <w:p w:rsidR="0056584F" w:rsidRDefault="0056584F" w:rsidP="0056584F">
      <w:pPr>
        <w:spacing w:after="45"/>
      </w:pPr>
    </w:p>
    <w:p w:rsidR="0056584F" w:rsidRDefault="0056584F" w:rsidP="0056584F">
      <w:pPr>
        <w:ind w:left="-5"/>
      </w:pPr>
    </w:p>
    <w:p w:rsidR="0056584F" w:rsidRDefault="0056584F" w:rsidP="0056584F">
      <w:pPr>
        <w:ind w:left="-5"/>
      </w:pPr>
      <w:r>
        <w:t>Návrh „Program rozvoja bývania obce  Dubové</w:t>
      </w:r>
      <w:r>
        <w:rPr>
          <w:rFonts w:ascii="Calibri" w:hAnsi="Calibri" w:cs="Calibri"/>
        </w:rPr>
        <w:t>“</w:t>
      </w:r>
      <w:r>
        <w:t xml:space="preserve"> bol schválený Obecným zastupiteľstvom obce Dubové dňa ...................... uznesením č. ......................... </w:t>
      </w:r>
    </w:p>
    <w:p w:rsidR="0056584F" w:rsidRDefault="0056584F" w:rsidP="0056584F">
      <w:pPr>
        <w:spacing w:after="0"/>
      </w:pPr>
      <w:r>
        <w:t xml:space="preserve"> </w:t>
      </w:r>
    </w:p>
    <w:p w:rsidR="0056584F" w:rsidRDefault="0056584F" w:rsidP="0056584F">
      <w:pPr>
        <w:spacing w:after="0"/>
      </w:pPr>
      <w:r>
        <w:t xml:space="preserve"> </w:t>
      </w: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56584F">
      <w:pPr>
        <w:pStyle w:val="Zkladntext"/>
        <w:jc w:val="both"/>
        <w:rPr>
          <w:b w:val="0"/>
          <w:sz w:val="20"/>
        </w:rPr>
      </w:pPr>
    </w:p>
    <w:p w:rsidR="0056584F" w:rsidRDefault="0056584F" w:rsidP="003438E1">
      <w:pPr>
        <w:spacing w:after="0"/>
        <w:rPr>
          <w:sz w:val="20"/>
        </w:rPr>
      </w:pPr>
      <w:bookmarkStart w:id="8" w:name="_GoBack"/>
      <w:bookmarkEnd w:id="8"/>
    </w:p>
    <w:p w:rsidR="0056584F" w:rsidRDefault="0056584F" w:rsidP="003438E1">
      <w:pPr>
        <w:spacing w:after="0"/>
        <w:rPr>
          <w:sz w:val="20"/>
        </w:rPr>
      </w:pPr>
    </w:p>
    <w:p w:rsidR="0056584F" w:rsidRDefault="0056584F" w:rsidP="003438E1">
      <w:pPr>
        <w:spacing w:after="0"/>
      </w:pPr>
    </w:p>
    <w:p w:rsidR="003438E1" w:rsidRDefault="003438E1" w:rsidP="003438E1">
      <w:pPr>
        <w:spacing w:after="14"/>
        <w:rPr>
          <w:sz w:val="20"/>
        </w:rPr>
      </w:pPr>
    </w:p>
    <w:p w:rsidR="003438E1" w:rsidRDefault="003438E1" w:rsidP="003438E1">
      <w:pPr>
        <w:spacing w:after="14"/>
        <w:rPr>
          <w:sz w:val="20"/>
        </w:rPr>
      </w:pPr>
    </w:p>
    <w:p w:rsidR="003438E1" w:rsidRDefault="003438E1" w:rsidP="003438E1">
      <w:pPr>
        <w:spacing w:after="14"/>
        <w:rPr>
          <w:sz w:val="20"/>
        </w:rPr>
      </w:pPr>
    </w:p>
    <w:p w:rsidR="003438E1" w:rsidRDefault="003438E1" w:rsidP="003438E1">
      <w:pPr>
        <w:spacing w:after="14"/>
      </w:pPr>
      <w:r>
        <w:rPr>
          <w:sz w:val="20"/>
        </w:rPr>
        <w:t xml:space="preserve"> </w:t>
      </w:r>
    </w:p>
    <w:p w:rsidR="0056513E" w:rsidRDefault="0056513E"/>
    <w:sectPr w:rsidR="00565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DEC" w:rsidRDefault="00741DEC" w:rsidP="003438E1">
      <w:pPr>
        <w:spacing w:after="0" w:line="240" w:lineRule="auto"/>
      </w:pPr>
      <w:r>
        <w:separator/>
      </w:r>
    </w:p>
  </w:endnote>
  <w:endnote w:type="continuationSeparator" w:id="0">
    <w:p w:rsidR="00741DEC" w:rsidRDefault="00741DEC" w:rsidP="0034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DEC" w:rsidRDefault="00741DEC" w:rsidP="003438E1">
      <w:pPr>
        <w:spacing w:after="0" w:line="240" w:lineRule="auto"/>
      </w:pPr>
      <w:r>
        <w:separator/>
      </w:r>
    </w:p>
  </w:footnote>
  <w:footnote w:type="continuationSeparator" w:id="0">
    <w:p w:rsidR="00741DEC" w:rsidRDefault="00741DEC" w:rsidP="003438E1">
      <w:pPr>
        <w:spacing w:after="0" w:line="240" w:lineRule="auto"/>
      </w:pPr>
      <w:r>
        <w:continuationSeparator/>
      </w:r>
    </w:p>
  </w:footnote>
  <w:footnote w:id="1">
    <w:p w:rsidR="003438E1" w:rsidRDefault="003438E1" w:rsidP="003438E1">
      <w:pPr>
        <w:pStyle w:val="footnotedescription"/>
        <w:spacing w:line="256" w:lineRule="auto"/>
      </w:pPr>
      <w:r>
        <w:rPr>
          <w:rStyle w:val="Odkaznapoznmkupodiarou"/>
        </w:rPr>
        <w:footnoteRef/>
      </w:r>
      <w:r>
        <w:t xml:space="preserve"> Prvé znenie dokumentu je označené číslom 1.0. V prípade zásadných zmien sa ďalšie aktualizované verzie označujú 2.0, 3.0 atď. V prípade malých zmien sa aktualizované verzie označujú číslami napr. 1.1, 2.1, 2.2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1BA6"/>
    <w:multiLevelType w:val="hybridMultilevel"/>
    <w:tmpl w:val="EF1EFB2E"/>
    <w:lvl w:ilvl="0" w:tplc="C10682B4">
      <w:start w:val="1"/>
      <w:numFmt w:val="upperLetter"/>
      <w:lvlText w:val="%1."/>
      <w:lvlJc w:val="left"/>
      <w:pPr>
        <w:ind w:left="708"/>
      </w:pPr>
      <w:rPr>
        <w:rFonts w:ascii="Arial" w:eastAsia="Times New Roman" w:hAnsi="Arial" w:cs="Arial"/>
        <w:b/>
        <w:bCs/>
        <w:i w:val="0"/>
        <w:strike w:val="0"/>
        <w:dstrike w:val="0"/>
        <w:color w:val="000000"/>
        <w:sz w:val="28"/>
        <w:szCs w:val="28"/>
        <w:u w:val="none" w:color="000000"/>
        <w:vertAlign w:val="baseline"/>
      </w:rPr>
    </w:lvl>
    <w:lvl w:ilvl="1" w:tplc="DC7AC082">
      <w:start w:val="1"/>
      <w:numFmt w:val="lowerLetter"/>
      <w:lvlText w:val="%2"/>
      <w:lvlJc w:val="left"/>
      <w:pPr>
        <w:ind w:left="1080"/>
      </w:pPr>
      <w:rPr>
        <w:rFonts w:ascii="Arial" w:eastAsia="Times New Roman" w:hAnsi="Arial" w:cs="Arial"/>
        <w:b/>
        <w:bCs/>
        <w:i w:val="0"/>
        <w:strike w:val="0"/>
        <w:dstrike w:val="0"/>
        <w:color w:val="000000"/>
        <w:sz w:val="28"/>
        <w:szCs w:val="28"/>
        <w:u w:val="none" w:color="000000"/>
        <w:vertAlign w:val="baseline"/>
      </w:rPr>
    </w:lvl>
    <w:lvl w:ilvl="2" w:tplc="C5E0DC54">
      <w:start w:val="1"/>
      <w:numFmt w:val="lowerRoman"/>
      <w:lvlText w:val="%3"/>
      <w:lvlJc w:val="left"/>
      <w:pPr>
        <w:ind w:left="1800"/>
      </w:pPr>
      <w:rPr>
        <w:rFonts w:ascii="Arial" w:eastAsia="Times New Roman" w:hAnsi="Arial" w:cs="Arial"/>
        <w:b/>
        <w:bCs/>
        <w:i w:val="0"/>
        <w:strike w:val="0"/>
        <w:dstrike w:val="0"/>
        <w:color w:val="000000"/>
        <w:sz w:val="28"/>
        <w:szCs w:val="28"/>
        <w:u w:val="none" w:color="000000"/>
        <w:vertAlign w:val="baseline"/>
      </w:rPr>
    </w:lvl>
    <w:lvl w:ilvl="3" w:tplc="12CA45A6">
      <w:start w:val="1"/>
      <w:numFmt w:val="decimal"/>
      <w:lvlText w:val="%4"/>
      <w:lvlJc w:val="left"/>
      <w:pPr>
        <w:ind w:left="2520"/>
      </w:pPr>
      <w:rPr>
        <w:rFonts w:ascii="Arial" w:eastAsia="Times New Roman" w:hAnsi="Arial" w:cs="Arial"/>
        <w:b/>
        <w:bCs/>
        <w:i w:val="0"/>
        <w:strike w:val="0"/>
        <w:dstrike w:val="0"/>
        <w:color w:val="000000"/>
        <w:sz w:val="28"/>
        <w:szCs w:val="28"/>
        <w:u w:val="none" w:color="000000"/>
        <w:vertAlign w:val="baseline"/>
      </w:rPr>
    </w:lvl>
    <w:lvl w:ilvl="4" w:tplc="5F8AC72A">
      <w:start w:val="1"/>
      <w:numFmt w:val="lowerLetter"/>
      <w:lvlText w:val="%5"/>
      <w:lvlJc w:val="left"/>
      <w:pPr>
        <w:ind w:left="3240"/>
      </w:pPr>
      <w:rPr>
        <w:rFonts w:ascii="Arial" w:eastAsia="Times New Roman" w:hAnsi="Arial" w:cs="Arial"/>
        <w:b/>
        <w:bCs/>
        <w:i w:val="0"/>
        <w:strike w:val="0"/>
        <w:dstrike w:val="0"/>
        <w:color w:val="000000"/>
        <w:sz w:val="28"/>
        <w:szCs w:val="28"/>
        <w:u w:val="none" w:color="000000"/>
        <w:vertAlign w:val="baseline"/>
      </w:rPr>
    </w:lvl>
    <w:lvl w:ilvl="5" w:tplc="305A787C">
      <w:start w:val="1"/>
      <w:numFmt w:val="lowerRoman"/>
      <w:lvlText w:val="%6"/>
      <w:lvlJc w:val="left"/>
      <w:pPr>
        <w:ind w:left="3960"/>
      </w:pPr>
      <w:rPr>
        <w:rFonts w:ascii="Arial" w:eastAsia="Times New Roman" w:hAnsi="Arial" w:cs="Arial"/>
        <w:b/>
        <w:bCs/>
        <w:i w:val="0"/>
        <w:strike w:val="0"/>
        <w:dstrike w:val="0"/>
        <w:color w:val="000000"/>
        <w:sz w:val="28"/>
        <w:szCs w:val="28"/>
        <w:u w:val="none" w:color="000000"/>
        <w:vertAlign w:val="baseline"/>
      </w:rPr>
    </w:lvl>
    <w:lvl w:ilvl="6" w:tplc="8D0C849E">
      <w:start w:val="1"/>
      <w:numFmt w:val="decimal"/>
      <w:lvlText w:val="%7"/>
      <w:lvlJc w:val="left"/>
      <w:pPr>
        <w:ind w:left="4680"/>
      </w:pPr>
      <w:rPr>
        <w:rFonts w:ascii="Arial" w:eastAsia="Times New Roman" w:hAnsi="Arial" w:cs="Arial"/>
        <w:b/>
        <w:bCs/>
        <w:i w:val="0"/>
        <w:strike w:val="0"/>
        <w:dstrike w:val="0"/>
        <w:color w:val="000000"/>
        <w:sz w:val="28"/>
        <w:szCs w:val="28"/>
        <w:u w:val="none" w:color="000000"/>
        <w:vertAlign w:val="baseline"/>
      </w:rPr>
    </w:lvl>
    <w:lvl w:ilvl="7" w:tplc="2A4CF132">
      <w:start w:val="1"/>
      <w:numFmt w:val="lowerLetter"/>
      <w:lvlText w:val="%8"/>
      <w:lvlJc w:val="left"/>
      <w:pPr>
        <w:ind w:left="5400"/>
      </w:pPr>
      <w:rPr>
        <w:rFonts w:ascii="Arial" w:eastAsia="Times New Roman" w:hAnsi="Arial" w:cs="Arial"/>
        <w:b/>
        <w:bCs/>
        <w:i w:val="0"/>
        <w:strike w:val="0"/>
        <w:dstrike w:val="0"/>
        <w:color w:val="000000"/>
        <w:sz w:val="28"/>
        <w:szCs w:val="28"/>
        <w:u w:val="none" w:color="000000"/>
        <w:vertAlign w:val="baseline"/>
      </w:rPr>
    </w:lvl>
    <w:lvl w:ilvl="8" w:tplc="AD228372">
      <w:start w:val="1"/>
      <w:numFmt w:val="lowerRoman"/>
      <w:lvlText w:val="%9"/>
      <w:lvlJc w:val="left"/>
      <w:pPr>
        <w:ind w:left="6120"/>
      </w:pPr>
      <w:rPr>
        <w:rFonts w:ascii="Arial" w:eastAsia="Times New Roman" w:hAnsi="Arial" w:cs="Arial"/>
        <w:b/>
        <w:bCs/>
        <w:i w:val="0"/>
        <w:strike w:val="0"/>
        <w:dstrike w:val="0"/>
        <w:color w:val="000000"/>
        <w:sz w:val="28"/>
        <w:szCs w:val="28"/>
        <w:u w:val="none" w:color="000000"/>
        <w:vertAlign w:val="baseline"/>
      </w:rPr>
    </w:lvl>
  </w:abstractNum>
  <w:abstractNum w:abstractNumId="1" w15:restartNumberingAfterBreak="0">
    <w:nsid w:val="0CF37C6D"/>
    <w:multiLevelType w:val="hybridMultilevel"/>
    <w:tmpl w:val="7A26857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 w15:restartNumberingAfterBreak="0">
    <w:nsid w:val="100D7269"/>
    <w:multiLevelType w:val="hybridMultilevel"/>
    <w:tmpl w:val="0D0A7CF8"/>
    <w:lvl w:ilvl="0" w:tplc="D03ADEAA">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A3C66D6E">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8AD4DA">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402E89B0">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8B8F154">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478C12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3D78860E">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2E6C669C">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F702A16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11ED612D"/>
    <w:multiLevelType w:val="hybridMultilevel"/>
    <w:tmpl w:val="69A09F00"/>
    <w:lvl w:ilvl="0" w:tplc="3102656A">
      <w:start w:val="1"/>
      <w:numFmt w:val="upperLetter"/>
      <w:lvlText w:val="%1."/>
      <w:lvlJc w:val="left"/>
      <w:pPr>
        <w:ind w:left="359"/>
      </w:pPr>
      <w:rPr>
        <w:rFonts w:ascii="Arial" w:eastAsia="Times New Roman" w:hAnsi="Arial" w:cs="Arial"/>
        <w:b/>
        <w:bCs/>
        <w:i w:val="0"/>
        <w:strike w:val="0"/>
        <w:dstrike w:val="0"/>
        <w:color w:val="000000"/>
        <w:sz w:val="28"/>
        <w:szCs w:val="28"/>
        <w:u w:val="none" w:color="000000"/>
        <w:vertAlign w:val="baseline"/>
      </w:rPr>
    </w:lvl>
    <w:lvl w:ilvl="1" w:tplc="189C5B18">
      <w:start w:val="1"/>
      <w:numFmt w:val="lowerLetter"/>
      <w:lvlText w:val="%2)"/>
      <w:lvlJc w:val="left"/>
      <w:pPr>
        <w:ind w:left="1068"/>
      </w:pPr>
      <w:rPr>
        <w:rFonts w:ascii="Times New Roman" w:eastAsia="Times New Roman" w:hAnsi="Times New Roman" w:cs="Times New Roman"/>
        <w:b w:val="0"/>
        <w:i w:val="0"/>
        <w:strike w:val="0"/>
        <w:dstrike w:val="0"/>
        <w:color w:val="000000"/>
        <w:sz w:val="24"/>
        <w:szCs w:val="24"/>
        <w:u w:val="none" w:color="000000"/>
        <w:vertAlign w:val="baseline"/>
      </w:rPr>
    </w:lvl>
    <w:lvl w:ilvl="2" w:tplc="266453B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vertAlign w:val="baseline"/>
      </w:rPr>
    </w:lvl>
    <w:lvl w:ilvl="3" w:tplc="1D7EC76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vertAlign w:val="baseline"/>
      </w:rPr>
    </w:lvl>
    <w:lvl w:ilvl="4" w:tplc="F5C4F61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vertAlign w:val="baseline"/>
      </w:rPr>
    </w:lvl>
    <w:lvl w:ilvl="5" w:tplc="18E2D5B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vertAlign w:val="baseline"/>
      </w:rPr>
    </w:lvl>
    <w:lvl w:ilvl="6" w:tplc="E7C6331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vertAlign w:val="baseline"/>
      </w:rPr>
    </w:lvl>
    <w:lvl w:ilvl="7" w:tplc="05DC4C6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vertAlign w:val="baseline"/>
      </w:rPr>
    </w:lvl>
    <w:lvl w:ilvl="8" w:tplc="95AEB45A">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4" w15:restartNumberingAfterBreak="0">
    <w:nsid w:val="148D0FFE"/>
    <w:multiLevelType w:val="hybridMultilevel"/>
    <w:tmpl w:val="915290D8"/>
    <w:lvl w:ilvl="0" w:tplc="16983C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91ACD7D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7A881D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6E10DA9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543CF8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08B2F3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280E05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B3DA43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BE544C5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1A07366B"/>
    <w:multiLevelType w:val="hybridMultilevel"/>
    <w:tmpl w:val="62944F1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2A565297"/>
    <w:multiLevelType w:val="hybridMultilevel"/>
    <w:tmpl w:val="4E84A49E"/>
    <w:lvl w:ilvl="0" w:tplc="E12CD97C">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E612F74C">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CC72C5C6">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DD8CCD0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204A224E">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6F8EF7CC">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E3806106">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7D4C2972">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629C9A58">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7" w15:restartNumberingAfterBreak="0">
    <w:nsid w:val="3E2E3298"/>
    <w:multiLevelType w:val="hybridMultilevel"/>
    <w:tmpl w:val="530C49F2"/>
    <w:lvl w:ilvl="0" w:tplc="1DF21E2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vertAlign w:val="baseline"/>
      </w:rPr>
    </w:lvl>
    <w:lvl w:ilvl="1" w:tplc="840897E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85CA18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vertAlign w:val="baseline"/>
      </w:rPr>
    </w:lvl>
    <w:lvl w:ilvl="3" w:tplc="03F2BFA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vertAlign w:val="baseline"/>
      </w:rPr>
    </w:lvl>
    <w:lvl w:ilvl="4" w:tplc="2A3C8C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vertAlign w:val="baseline"/>
      </w:rPr>
    </w:lvl>
    <w:lvl w:ilvl="5" w:tplc="88C099C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vertAlign w:val="baseline"/>
      </w:rPr>
    </w:lvl>
    <w:lvl w:ilvl="6" w:tplc="00204B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vertAlign w:val="baseline"/>
      </w:rPr>
    </w:lvl>
    <w:lvl w:ilvl="7" w:tplc="774655F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vertAlign w:val="baseline"/>
      </w:rPr>
    </w:lvl>
    <w:lvl w:ilvl="8" w:tplc="679434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15:restartNumberingAfterBreak="0">
    <w:nsid w:val="3F653AC6"/>
    <w:multiLevelType w:val="multilevel"/>
    <w:tmpl w:val="DB5040BA"/>
    <w:lvl w:ilvl="0">
      <w:numFmt w:val="bullet"/>
      <w:lvlText w:val="-"/>
      <w:lvlJc w:val="left"/>
      <w:pPr>
        <w:ind w:left="720"/>
      </w:pPr>
      <w:rPr>
        <w:rFonts w:ascii="Calibri" w:eastAsia="Times New Roman" w:hAnsi="Calibri"/>
        <w:b w:val="0"/>
        <w:i w:val="0"/>
        <w:strike w:val="0"/>
        <w:dstrike w:val="0"/>
        <w:color w:val="000000"/>
        <w:position w:val="0"/>
        <w:sz w:val="22"/>
        <w:u w:val="none" w:color="000000"/>
        <w:vertAlign w:val="baseline"/>
      </w:rPr>
    </w:lvl>
    <w:lvl w:ilvl="1">
      <w:numFmt w:val="bullet"/>
      <w:lvlText w:val="o"/>
      <w:lvlJc w:val="left"/>
      <w:pPr>
        <w:ind w:left="1440"/>
      </w:pPr>
      <w:rPr>
        <w:rFonts w:ascii="Calibri" w:eastAsia="Times New Roman" w:hAnsi="Calibri"/>
        <w:b w:val="0"/>
        <w:i w:val="0"/>
        <w:strike w:val="0"/>
        <w:dstrike w:val="0"/>
        <w:color w:val="000000"/>
        <w:position w:val="0"/>
        <w:sz w:val="22"/>
        <w:u w:val="none" w:color="000000"/>
        <w:vertAlign w:val="baseline"/>
      </w:rPr>
    </w:lvl>
    <w:lvl w:ilvl="2">
      <w:numFmt w:val="bullet"/>
      <w:lvlText w:val="▪"/>
      <w:lvlJc w:val="left"/>
      <w:pPr>
        <w:ind w:left="2160"/>
      </w:pPr>
      <w:rPr>
        <w:rFonts w:ascii="Calibri" w:eastAsia="Times New Roman" w:hAnsi="Calibri"/>
        <w:b w:val="0"/>
        <w:i w:val="0"/>
        <w:strike w:val="0"/>
        <w:dstrike w:val="0"/>
        <w:color w:val="000000"/>
        <w:position w:val="0"/>
        <w:sz w:val="22"/>
        <w:u w:val="none" w:color="000000"/>
        <w:vertAlign w:val="baseline"/>
      </w:rPr>
    </w:lvl>
    <w:lvl w:ilvl="3">
      <w:numFmt w:val="bullet"/>
      <w:lvlText w:val="•"/>
      <w:lvlJc w:val="left"/>
      <w:pPr>
        <w:ind w:left="2880"/>
      </w:pPr>
      <w:rPr>
        <w:rFonts w:ascii="Calibri" w:eastAsia="Times New Roman" w:hAnsi="Calibri"/>
        <w:b w:val="0"/>
        <w:i w:val="0"/>
        <w:strike w:val="0"/>
        <w:dstrike w:val="0"/>
        <w:color w:val="000000"/>
        <w:position w:val="0"/>
        <w:sz w:val="22"/>
        <w:u w:val="none" w:color="000000"/>
        <w:vertAlign w:val="baseline"/>
      </w:rPr>
    </w:lvl>
    <w:lvl w:ilvl="4">
      <w:numFmt w:val="bullet"/>
      <w:lvlText w:val="o"/>
      <w:lvlJc w:val="left"/>
      <w:pPr>
        <w:ind w:left="3600"/>
      </w:pPr>
      <w:rPr>
        <w:rFonts w:ascii="Calibri" w:eastAsia="Times New Roman" w:hAnsi="Calibri"/>
        <w:b w:val="0"/>
        <w:i w:val="0"/>
        <w:strike w:val="0"/>
        <w:dstrike w:val="0"/>
        <w:color w:val="000000"/>
        <w:position w:val="0"/>
        <w:sz w:val="22"/>
        <w:u w:val="none" w:color="000000"/>
        <w:vertAlign w:val="baseline"/>
      </w:rPr>
    </w:lvl>
    <w:lvl w:ilvl="5">
      <w:numFmt w:val="bullet"/>
      <w:lvlText w:val="▪"/>
      <w:lvlJc w:val="left"/>
      <w:pPr>
        <w:ind w:left="4320"/>
      </w:pPr>
      <w:rPr>
        <w:rFonts w:ascii="Calibri" w:eastAsia="Times New Roman" w:hAnsi="Calibri"/>
        <w:b w:val="0"/>
        <w:i w:val="0"/>
        <w:strike w:val="0"/>
        <w:dstrike w:val="0"/>
        <w:color w:val="000000"/>
        <w:position w:val="0"/>
        <w:sz w:val="22"/>
        <w:u w:val="none" w:color="000000"/>
        <w:vertAlign w:val="baseline"/>
      </w:rPr>
    </w:lvl>
    <w:lvl w:ilvl="6">
      <w:numFmt w:val="bullet"/>
      <w:lvlText w:val="•"/>
      <w:lvlJc w:val="left"/>
      <w:pPr>
        <w:ind w:left="5040"/>
      </w:pPr>
      <w:rPr>
        <w:rFonts w:ascii="Calibri" w:eastAsia="Times New Roman" w:hAnsi="Calibri"/>
        <w:b w:val="0"/>
        <w:i w:val="0"/>
        <w:strike w:val="0"/>
        <w:dstrike w:val="0"/>
        <w:color w:val="000000"/>
        <w:position w:val="0"/>
        <w:sz w:val="22"/>
        <w:u w:val="none" w:color="000000"/>
        <w:vertAlign w:val="baseline"/>
      </w:rPr>
    </w:lvl>
    <w:lvl w:ilvl="7">
      <w:numFmt w:val="bullet"/>
      <w:lvlText w:val="o"/>
      <w:lvlJc w:val="left"/>
      <w:pPr>
        <w:ind w:left="5760"/>
      </w:pPr>
      <w:rPr>
        <w:rFonts w:ascii="Calibri" w:eastAsia="Times New Roman" w:hAnsi="Calibri"/>
        <w:b w:val="0"/>
        <w:i w:val="0"/>
        <w:strike w:val="0"/>
        <w:dstrike w:val="0"/>
        <w:color w:val="000000"/>
        <w:position w:val="0"/>
        <w:sz w:val="22"/>
        <w:u w:val="none" w:color="000000"/>
        <w:vertAlign w:val="baseline"/>
      </w:rPr>
    </w:lvl>
    <w:lvl w:ilvl="8">
      <w:numFmt w:val="bullet"/>
      <w:lvlText w:val="▪"/>
      <w:lvlJc w:val="left"/>
      <w:pPr>
        <w:ind w:left="6480"/>
      </w:pPr>
      <w:rPr>
        <w:rFonts w:ascii="Calibri" w:eastAsia="Times New Roman" w:hAnsi="Calibri"/>
        <w:b w:val="0"/>
        <w:i w:val="0"/>
        <w:strike w:val="0"/>
        <w:dstrike w:val="0"/>
        <w:color w:val="000000"/>
        <w:position w:val="0"/>
        <w:sz w:val="22"/>
        <w:u w:val="none" w:color="000000"/>
        <w:vertAlign w:val="baseline"/>
      </w:rPr>
    </w:lvl>
  </w:abstractNum>
  <w:abstractNum w:abstractNumId="9" w15:restartNumberingAfterBreak="0">
    <w:nsid w:val="4FAE0533"/>
    <w:multiLevelType w:val="hybridMultilevel"/>
    <w:tmpl w:val="4C70BFC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666D3377"/>
    <w:multiLevelType w:val="hybridMultilevel"/>
    <w:tmpl w:val="4A36725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67AD31FB"/>
    <w:multiLevelType w:val="hybridMultilevel"/>
    <w:tmpl w:val="3AC2AB5E"/>
    <w:lvl w:ilvl="0" w:tplc="C4E06B06">
      <w:start w:val="1"/>
      <w:numFmt w:val="bullet"/>
      <w:lvlText w:val="-"/>
      <w:lvlJc w:val="left"/>
      <w:pPr>
        <w:ind w:left="420"/>
      </w:pPr>
      <w:rPr>
        <w:rFonts w:ascii="Times New Roman" w:eastAsia="Times New Roman" w:hAnsi="Times New Roman"/>
        <w:b w:val="0"/>
        <w:i w:val="0"/>
        <w:strike w:val="0"/>
        <w:dstrike w:val="0"/>
        <w:color w:val="000000"/>
        <w:sz w:val="24"/>
        <w:u w:val="none" w:color="000000"/>
        <w:vertAlign w:val="baseline"/>
      </w:rPr>
    </w:lvl>
    <w:lvl w:ilvl="1" w:tplc="46DCFDF2">
      <w:start w:val="1"/>
      <w:numFmt w:val="bullet"/>
      <w:lvlText w:val="o"/>
      <w:lvlJc w:val="left"/>
      <w:pPr>
        <w:ind w:left="1126"/>
      </w:pPr>
      <w:rPr>
        <w:rFonts w:ascii="Times New Roman" w:eastAsia="Times New Roman" w:hAnsi="Times New Roman"/>
        <w:b w:val="0"/>
        <w:i w:val="0"/>
        <w:strike w:val="0"/>
        <w:dstrike w:val="0"/>
        <w:color w:val="000000"/>
        <w:sz w:val="24"/>
        <w:u w:val="none" w:color="000000"/>
        <w:vertAlign w:val="baseline"/>
      </w:rPr>
    </w:lvl>
    <w:lvl w:ilvl="2" w:tplc="CCFA3A60">
      <w:start w:val="1"/>
      <w:numFmt w:val="bullet"/>
      <w:lvlText w:val="▪"/>
      <w:lvlJc w:val="left"/>
      <w:pPr>
        <w:ind w:left="1846"/>
      </w:pPr>
      <w:rPr>
        <w:rFonts w:ascii="Times New Roman" w:eastAsia="Times New Roman" w:hAnsi="Times New Roman"/>
        <w:b w:val="0"/>
        <w:i w:val="0"/>
        <w:strike w:val="0"/>
        <w:dstrike w:val="0"/>
        <w:color w:val="000000"/>
        <w:sz w:val="24"/>
        <w:u w:val="none" w:color="000000"/>
        <w:vertAlign w:val="baseline"/>
      </w:rPr>
    </w:lvl>
    <w:lvl w:ilvl="3" w:tplc="C89E01CC">
      <w:start w:val="1"/>
      <w:numFmt w:val="bullet"/>
      <w:lvlText w:val="•"/>
      <w:lvlJc w:val="left"/>
      <w:pPr>
        <w:ind w:left="2566"/>
      </w:pPr>
      <w:rPr>
        <w:rFonts w:ascii="Times New Roman" w:eastAsia="Times New Roman" w:hAnsi="Times New Roman"/>
        <w:b w:val="0"/>
        <w:i w:val="0"/>
        <w:strike w:val="0"/>
        <w:dstrike w:val="0"/>
        <w:color w:val="000000"/>
        <w:sz w:val="24"/>
        <w:u w:val="none" w:color="000000"/>
        <w:vertAlign w:val="baseline"/>
      </w:rPr>
    </w:lvl>
    <w:lvl w:ilvl="4" w:tplc="571C3A74">
      <w:start w:val="1"/>
      <w:numFmt w:val="bullet"/>
      <w:lvlText w:val="o"/>
      <w:lvlJc w:val="left"/>
      <w:pPr>
        <w:ind w:left="3286"/>
      </w:pPr>
      <w:rPr>
        <w:rFonts w:ascii="Times New Roman" w:eastAsia="Times New Roman" w:hAnsi="Times New Roman"/>
        <w:b w:val="0"/>
        <w:i w:val="0"/>
        <w:strike w:val="0"/>
        <w:dstrike w:val="0"/>
        <w:color w:val="000000"/>
        <w:sz w:val="24"/>
        <w:u w:val="none" w:color="000000"/>
        <w:vertAlign w:val="baseline"/>
      </w:rPr>
    </w:lvl>
    <w:lvl w:ilvl="5" w:tplc="C25CE5B6">
      <w:start w:val="1"/>
      <w:numFmt w:val="bullet"/>
      <w:lvlText w:val="▪"/>
      <w:lvlJc w:val="left"/>
      <w:pPr>
        <w:ind w:left="4006"/>
      </w:pPr>
      <w:rPr>
        <w:rFonts w:ascii="Times New Roman" w:eastAsia="Times New Roman" w:hAnsi="Times New Roman"/>
        <w:b w:val="0"/>
        <w:i w:val="0"/>
        <w:strike w:val="0"/>
        <w:dstrike w:val="0"/>
        <w:color w:val="000000"/>
        <w:sz w:val="24"/>
        <w:u w:val="none" w:color="000000"/>
        <w:vertAlign w:val="baseline"/>
      </w:rPr>
    </w:lvl>
    <w:lvl w:ilvl="6" w:tplc="F78E9272">
      <w:start w:val="1"/>
      <w:numFmt w:val="bullet"/>
      <w:lvlText w:val="•"/>
      <w:lvlJc w:val="left"/>
      <w:pPr>
        <w:ind w:left="4726"/>
      </w:pPr>
      <w:rPr>
        <w:rFonts w:ascii="Times New Roman" w:eastAsia="Times New Roman" w:hAnsi="Times New Roman"/>
        <w:b w:val="0"/>
        <w:i w:val="0"/>
        <w:strike w:val="0"/>
        <w:dstrike w:val="0"/>
        <w:color w:val="000000"/>
        <w:sz w:val="24"/>
        <w:u w:val="none" w:color="000000"/>
        <w:vertAlign w:val="baseline"/>
      </w:rPr>
    </w:lvl>
    <w:lvl w:ilvl="7" w:tplc="BEE83C62">
      <w:start w:val="1"/>
      <w:numFmt w:val="bullet"/>
      <w:lvlText w:val="o"/>
      <w:lvlJc w:val="left"/>
      <w:pPr>
        <w:ind w:left="5446"/>
      </w:pPr>
      <w:rPr>
        <w:rFonts w:ascii="Times New Roman" w:eastAsia="Times New Roman" w:hAnsi="Times New Roman"/>
        <w:b w:val="0"/>
        <w:i w:val="0"/>
        <w:strike w:val="0"/>
        <w:dstrike w:val="0"/>
        <w:color w:val="000000"/>
        <w:sz w:val="24"/>
        <w:u w:val="none" w:color="000000"/>
        <w:vertAlign w:val="baseline"/>
      </w:rPr>
    </w:lvl>
    <w:lvl w:ilvl="8" w:tplc="DEAC1BF6">
      <w:start w:val="1"/>
      <w:numFmt w:val="bullet"/>
      <w:lvlText w:val="▪"/>
      <w:lvlJc w:val="left"/>
      <w:pPr>
        <w:ind w:left="6166"/>
      </w:pPr>
      <w:rPr>
        <w:rFonts w:ascii="Times New Roman" w:eastAsia="Times New Roman" w:hAnsi="Times New Roman"/>
        <w:b w:val="0"/>
        <w:i w:val="0"/>
        <w:strike w:val="0"/>
        <w:dstrike w:val="0"/>
        <w:color w:val="000000"/>
        <w:sz w:val="24"/>
        <w:u w:val="none" w:color="000000"/>
        <w:vertAlign w:val="baseline"/>
      </w:rPr>
    </w:lvl>
  </w:abstractNum>
  <w:num w:numId="1">
    <w:abstractNumId w:val="8"/>
  </w:num>
  <w:num w:numId="2">
    <w:abstractNumId w:val="11"/>
  </w:num>
  <w:num w:numId="3">
    <w:abstractNumId w:val="0"/>
  </w:num>
  <w:num w:numId="4">
    <w:abstractNumId w:val="3"/>
  </w:num>
  <w:num w:numId="5">
    <w:abstractNumId w:val="2"/>
  </w:num>
  <w:num w:numId="6">
    <w:abstractNumId w:val="7"/>
  </w:num>
  <w:num w:numId="7">
    <w:abstractNumId w:val="10"/>
  </w:num>
  <w:num w:numId="8">
    <w:abstractNumId w:val="9"/>
  </w:num>
  <w:num w:numId="9">
    <w:abstractNumId w:val="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E1"/>
    <w:rsid w:val="003438E1"/>
    <w:rsid w:val="00481361"/>
    <w:rsid w:val="0056513E"/>
    <w:rsid w:val="0056584F"/>
    <w:rsid w:val="00741D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4D32"/>
  <w15:chartTrackingRefBased/>
  <w15:docId w15:val="{0EED970C-76EC-494D-A6B8-32003042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qFormat/>
    <w:rsid w:val="003438E1"/>
    <w:rPr>
      <w:rFonts w:eastAsia="Times New Roman" w:cs="Times New Roman"/>
    </w:rPr>
  </w:style>
  <w:style w:type="paragraph" w:styleId="Nadpis1">
    <w:name w:val="heading 1"/>
    <w:basedOn w:val="Normlny"/>
    <w:next w:val="Normlny"/>
    <w:link w:val="Nadpis1Char"/>
    <w:uiPriority w:val="9"/>
    <w:rsid w:val="003438E1"/>
    <w:pPr>
      <w:keepNext/>
      <w:keepLines/>
      <w:suppressAutoHyphens/>
      <w:autoSpaceDN w:val="0"/>
      <w:spacing w:after="2" w:line="256" w:lineRule="auto"/>
      <w:ind w:left="10" w:hanging="10"/>
      <w:textAlignment w:val="baseline"/>
      <w:outlineLvl w:val="0"/>
    </w:pPr>
    <w:rPr>
      <w:rFonts w:ascii="Cambria" w:hAnsi="Cambria" w:cs="Cambria"/>
      <w:b/>
      <w:color w:val="C00000"/>
      <w:sz w:val="28"/>
      <w:lang w:eastAsia="sk-SK"/>
    </w:rPr>
  </w:style>
  <w:style w:type="paragraph" w:styleId="Nadpis2">
    <w:name w:val="heading 2"/>
    <w:basedOn w:val="Normlny"/>
    <w:next w:val="Normlny"/>
    <w:link w:val="Nadpis2Char"/>
    <w:uiPriority w:val="9"/>
    <w:semiHidden/>
    <w:unhideWhenUsed/>
    <w:qFormat/>
    <w:rsid w:val="003438E1"/>
    <w:pPr>
      <w:keepNext/>
      <w:keepLines/>
      <w:spacing w:before="40" w:after="0"/>
      <w:outlineLvl w:val="1"/>
    </w:pPr>
    <w:rPr>
      <w:rFonts w:asciiTheme="majorHAnsi" w:eastAsiaTheme="majorEastAsia" w:hAnsiTheme="majorHAnsi"/>
      <w:color w:val="2E74B5" w:themeColor="accent1" w:themeShade="BF"/>
      <w:sz w:val="26"/>
      <w:szCs w:val="26"/>
    </w:rPr>
  </w:style>
  <w:style w:type="paragraph" w:styleId="Nadpis3">
    <w:name w:val="heading 3"/>
    <w:basedOn w:val="Normlny"/>
    <w:next w:val="Normlny"/>
    <w:link w:val="Nadpis3Char"/>
    <w:uiPriority w:val="9"/>
    <w:semiHidden/>
    <w:unhideWhenUsed/>
    <w:qFormat/>
    <w:rsid w:val="003438E1"/>
    <w:pPr>
      <w:keepNext/>
      <w:keepLines/>
      <w:spacing w:before="40" w:after="0"/>
      <w:outlineLvl w:val="2"/>
    </w:pPr>
    <w:rPr>
      <w:rFonts w:asciiTheme="majorHAnsi" w:eastAsiaTheme="majorEastAsia" w:hAnsiTheme="majorHAnsi"/>
      <w:color w:val="1F4D78" w:themeColor="accent1" w:themeShade="7F"/>
      <w:sz w:val="24"/>
      <w:szCs w:val="24"/>
    </w:rPr>
  </w:style>
  <w:style w:type="paragraph" w:styleId="Nadpis4">
    <w:name w:val="heading 4"/>
    <w:basedOn w:val="Normlny"/>
    <w:next w:val="Normlny"/>
    <w:link w:val="Nadpis4Char"/>
    <w:uiPriority w:val="9"/>
    <w:semiHidden/>
    <w:unhideWhenUsed/>
    <w:qFormat/>
    <w:rsid w:val="0056584F"/>
    <w:pPr>
      <w:keepNext/>
      <w:keepLines/>
      <w:spacing w:before="40" w:after="0"/>
      <w:outlineLvl w:val="3"/>
    </w:pPr>
    <w:rPr>
      <w:rFonts w:asciiTheme="majorHAnsi" w:eastAsiaTheme="majorEastAsia" w:hAnsiTheme="majorHAns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438E1"/>
    <w:rPr>
      <w:rFonts w:ascii="Cambria" w:eastAsia="Times New Roman" w:hAnsi="Cambria" w:cs="Cambria"/>
      <w:b/>
      <w:color w:val="C00000"/>
      <w:sz w:val="28"/>
      <w:lang w:eastAsia="sk-SK"/>
    </w:rPr>
  </w:style>
  <w:style w:type="character" w:customStyle="1" w:styleId="Nadpis2Char">
    <w:name w:val="Nadpis 2 Char"/>
    <w:basedOn w:val="Predvolenpsmoodseku"/>
    <w:link w:val="Nadpis2"/>
    <w:uiPriority w:val="9"/>
    <w:semiHidden/>
    <w:rsid w:val="003438E1"/>
    <w:rPr>
      <w:rFonts w:asciiTheme="majorHAnsi" w:eastAsiaTheme="majorEastAsia" w:hAnsiTheme="majorHAnsi" w:cs="Times New Roman"/>
      <w:color w:val="2E74B5" w:themeColor="accent1" w:themeShade="BF"/>
      <w:sz w:val="26"/>
      <w:szCs w:val="26"/>
    </w:rPr>
  </w:style>
  <w:style w:type="character" w:customStyle="1" w:styleId="Nadpis3Char">
    <w:name w:val="Nadpis 3 Char"/>
    <w:basedOn w:val="Predvolenpsmoodseku"/>
    <w:link w:val="Nadpis3"/>
    <w:uiPriority w:val="9"/>
    <w:semiHidden/>
    <w:rsid w:val="003438E1"/>
    <w:rPr>
      <w:rFonts w:asciiTheme="majorHAnsi" w:eastAsiaTheme="majorEastAsia" w:hAnsiTheme="majorHAnsi" w:cs="Times New Roman"/>
      <w:color w:val="1F4D78" w:themeColor="accent1" w:themeShade="7F"/>
      <w:sz w:val="24"/>
      <w:szCs w:val="24"/>
    </w:rPr>
  </w:style>
  <w:style w:type="paragraph" w:customStyle="1" w:styleId="footnotedescription">
    <w:name w:val="footnote description"/>
    <w:next w:val="Normlny"/>
    <w:rsid w:val="003438E1"/>
    <w:pPr>
      <w:suppressAutoHyphens/>
      <w:autoSpaceDN w:val="0"/>
      <w:spacing w:after="0" w:line="244" w:lineRule="auto"/>
      <w:textAlignment w:val="baseline"/>
    </w:pPr>
    <w:rPr>
      <w:rFonts w:ascii="Calibri" w:eastAsia="Times New Roman" w:hAnsi="Calibri" w:cs="Calibri"/>
      <w:color w:val="000000"/>
      <w:sz w:val="20"/>
      <w:lang w:eastAsia="sk-SK"/>
    </w:rPr>
  </w:style>
  <w:style w:type="character" w:styleId="Odkaznapoznmkupodiarou">
    <w:name w:val="footnote reference"/>
    <w:basedOn w:val="Predvolenpsmoodseku"/>
    <w:uiPriority w:val="99"/>
    <w:semiHidden/>
    <w:unhideWhenUsed/>
    <w:rsid w:val="003438E1"/>
    <w:rPr>
      <w:rFonts w:cs="Times New Roman"/>
      <w:vertAlign w:val="superscript"/>
    </w:rPr>
  </w:style>
  <w:style w:type="character" w:styleId="Hypertextovprepojenie">
    <w:name w:val="Hyperlink"/>
    <w:basedOn w:val="Predvolenpsmoodseku"/>
    <w:uiPriority w:val="99"/>
    <w:unhideWhenUsed/>
    <w:rsid w:val="003438E1"/>
    <w:rPr>
      <w:rFonts w:cs="Times New Roman"/>
      <w:color w:val="0563C1" w:themeColor="hyperlink"/>
      <w:u w:val="single"/>
    </w:rPr>
  </w:style>
  <w:style w:type="table" w:customStyle="1" w:styleId="TableGrid">
    <w:name w:val="TableGrid"/>
    <w:rsid w:val="003438E1"/>
    <w:pPr>
      <w:spacing w:after="0" w:line="240" w:lineRule="auto"/>
    </w:pPr>
    <w:rPr>
      <w:rFonts w:eastAsiaTheme="minorEastAsia" w:cs="Times New Roman"/>
      <w:lang w:eastAsia="sk-SK"/>
    </w:rPr>
    <w:tblPr>
      <w:tblCellMar>
        <w:top w:w="0" w:type="dxa"/>
        <w:left w:w="0" w:type="dxa"/>
        <w:bottom w:w="0" w:type="dxa"/>
        <w:right w:w="0" w:type="dxa"/>
      </w:tblCellMar>
    </w:tblPr>
  </w:style>
  <w:style w:type="character" w:customStyle="1" w:styleId="Nadpis4Char">
    <w:name w:val="Nadpis 4 Char"/>
    <w:basedOn w:val="Predvolenpsmoodseku"/>
    <w:link w:val="Nadpis4"/>
    <w:uiPriority w:val="9"/>
    <w:semiHidden/>
    <w:rsid w:val="0056584F"/>
    <w:rPr>
      <w:rFonts w:asciiTheme="majorHAnsi" w:eastAsiaTheme="majorEastAsia" w:hAnsiTheme="majorHAnsi" w:cs="Times New Roman"/>
      <w:i/>
      <w:iCs/>
      <w:color w:val="2E74B5" w:themeColor="accent1" w:themeShade="BF"/>
    </w:rPr>
  </w:style>
  <w:style w:type="paragraph" w:styleId="Odsekzoznamu">
    <w:name w:val="List Paragraph"/>
    <w:basedOn w:val="Normlny"/>
    <w:uiPriority w:val="34"/>
    <w:qFormat/>
    <w:rsid w:val="0056584F"/>
    <w:pPr>
      <w:ind w:left="720"/>
      <w:contextualSpacing/>
    </w:pPr>
  </w:style>
  <w:style w:type="paragraph" w:styleId="Zkladntext">
    <w:name w:val="Body Text"/>
    <w:aliases w:val="Body Text Char"/>
    <w:basedOn w:val="Normlny"/>
    <w:link w:val="ZkladntextChar"/>
    <w:uiPriority w:val="99"/>
    <w:rsid w:val="0056584F"/>
    <w:pPr>
      <w:spacing w:after="0" w:line="240" w:lineRule="auto"/>
    </w:pPr>
    <w:rPr>
      <w:rFonts w:ascii="Arial" w:eastAsia="MS Mincho" w:hAnsi="Arial"/>
      <w:b/>
      <w:szCs w:val="20"/>
      <w:lang w:eastAsia="sk-SK"/>
    </w:rPr>
  </w:style>
  <w:style w:type="character" w:customStyle="1" w:styleId="ZkladntextChar">
    <w:name w:val="Základný text Char"/>
    <w:aliases w:val="Body Text Char Char"/>
    <w:basedOn w:val="Predvolenpsmoodseku"/>
    <w:link w:val="Zkladntext"/>
    <w:uiPriority w:val="99"/>
    <w:rsid w:val="0056584F"/>
    <w:rPr>
      <w:rFonts w:ascii="Arial" w:eastAsia="MS Mincho" w:hAnsi="Arial" w:cs="Times New Roman"/>
      <w:b/>
      <w:szCs w:val="20"/>
      <w:lang w:eastAsia="sk-SK"/>
    </w:rPr>
  </w:style>
  <w:style w:type="character" w:styleId="Vrazn">
    <w:name w:val="Strong"/>
    <w:basedOn w:val="Predvolenpsmoodseku"/>
    <w:uiPriority w:val="22"/>
    <w:qFormat/>
    <w:rsid w:val="0056584F"/>
    <w:rPr>
      <w:rFonts w:cs="Times New Roman"/>
      <w:b/>
      <w:bCs/>
    </w:rPr>
  </w:style>
  <w:style w:type="table" w:styleId="Mriekatabuky">
    <w:name w:val="Table Grid"/>
    <w:basedOn w:val="Normlnatabuka"/>
    <w:uiPriority w:val="59"/>
    <w:rsid w:val="0056584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Predvolenpsmoodseku"/>
    <w:rsid w:val="005658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dubove@gaya.sk" TargetMode="External"/><Relationship Id="rId13" Type="http://schemas.openxmlformats.org/officeDocument/2006/relationships/hyperlink" Target="http://sk.wikipedia.org/wiki/Tur%C4%8Dianske_Teplice" TargetMode="External"/><Relationship Id="rId3" Type="http://schemas.openxmlformats.org/officeDocument/2006/relationships/settings" Target="settings.xml"/><Relationship Id="rId7" Type="http://schemas.openxmlformats.org/officeDocument/2006/relationships/hyperlink" Target="mailto:oudubove@gaya.sk" TargetMode="External"/><Relationship Id="rId12" Type="http://schemas.openxmlformats.org/officeDocument/2006/relationships/hyperlink" Target="http://sk.wikipedia.org/wiki/Turiec_(pr%C3%ADtok_V%C3%A1h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wikipedia.org/wiki/%C5%BDiar_(pohori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k.wikipedia.org/wiki/Tur%C4%8Dianska_kotlina" TargetMode="External"/><Relationship Id="rId4" Type="http://schemas.openxmlformats.org/officeDocument/2006/relationships/webSettings" Target="webSettings.xml"/><Relationship Id="rId9" Type="http://schemas.openxmlformats.org/officeDocument/2006/relationships/hyperlink" Target="http://www.dubove.sk" TargetMode="External"/><Relationship Id="rId14"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3814</Words>
  <Characters>21746</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LETTRICH Ľubomír</dc:creator>
  <cp:keywords/>
  <dc:description/>
  <cp:lastModifiedBy>Miroslav Koutný</cp:lastModifiedBy>
  <cp:revision>2</cp:revision>
  <dcterms:created xsi:type="dcterms:W3CDTF">2017-06-01T20:19:00Z</dcterms:created>
  <dcterms:modified xsi:type="dcterms:W3CDTF">2017-06-01T20:19:00Z</dcterms:modified>
</cp:coreProperties>
</file>